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5DB" w:rsidRPr="00480E02" w:rsidRDefault="00AE67AF" w:rsidP="00480E02">
      <w:pPr>
        <w:pStyle w:val="Tytu"/>
        <w:spacing w:line="360" w:lineRule="auto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  <w:bookmarkStart w:id="0" w:name="_GoBack"/>
      <w:r>
        <w:rPr>
          <w:rFonts w:asciiTheme="minorHAnsi" w:hAnsiTheme="minorHAnsi" w:cstheme="minorHAnsi"/>
          <w:b/>
          <w:color w:val="auto"/>
          <w:sz w:val="32"/>
          <w:szCs w:val="32"/>
        </w:rPr>
        <w:t>UCHWAŁA Nr XL</w:t>
      </w:r>
      <w:r w:rsidR="00B87D80" w:rsidRPr="00480E02">
        <w:rPr>
          <w:rFonts w:asciiTheme="minorHAnsi" w:hAnsiTheme="minorHAnsi" w:cstheme="minorHAnsi"/>
          <w:b/>
          <w:color w:val="auto"/>
          <w:sz w:val="32"/>
          <w:szCs w:val="32"/>
        </w:rPr>
        <w:t>/</w:t>
      </w:r>
      <w:r w:rsidR="00026D2D">
        <w:rPr>
          <w:rFonts w:asciiTheme="minorHAnsi" w:hAnsiTheme="minorHAnsi" w:cstheme="minorHAnsi"/>
          <w:b/>
          <w:color w:val="auto"/>
          <w:sz w:val="32"/>
          <w:szCs w:val="32"/>
        </w:rPr>
        <w:t>303</w:t>
      </w:r>
      <w:r>
        <w:rPr>
          <w:rFonts w:asciiTheme="minorHAnsi" w:hAnsiTheme="minorHAnsi" w:cstheme="minorHAnsi"/>
          <w:b/>
          <w:color w:val="auto"/>
          <w:sz w:val="32"/>
          <w:szCs w:val="32"/>
        </w:rPr>
        <w:t>/2023</w:t>
      </w:r>
      <w:r w:rsidR="00480E02">
        <w:rPr>
          <w:rFonts w:asciiTheme="minorHAnsi" w:hAnsiTheme="minorHAnsi" w:cstheme="minorHAnsi"/>
          <w:b/>
          <w:color w:val="auto"/>
          <w:sz w:val="32"/>
          <w:szCs w:val="32"/>
        </w:rPr>
        <w:t xml:space="preserve"> </w:t>
      </w:r>
      <w:r w:rsidR="00F50DAB">
        <w:rPr>
          <w:rFonts w:asciiTheme="minorHAnsi" w:hAnsiTheme="minorHAnsi" w:cstheme="minorHAnsi"/>
          <w:b/>
          <w:color w:val="auto"/>
          <w:sz w:val="32"/>
          <w:szCs w:val="32"/>
        </w:rPr>
        <w:t>projekt</w:t>
      </w:r>
    </w:p>
    <w:p w:rsidR="009745DB" w:rsidRPr="00480E02" w:rsidRDefault="009745DB" w:rsidP="00480E02">
      <w:pPr>
        <w:pStyle w:val="Tytu"/>
        <w:spacing w:line="360" w:lineRule="auto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480E02">
        <w:rPr>
          <w:rFonts w:asciiTheme="minorHAnsi" w:hAnsiTheme="minorHAnsi" w:cstheme="minorHAnsi"/>
          <w:b/>
          <w:color w:val="auto"/>
          <w:sz w:val="32"/>
          <w:szCs w:val="32"/>
        </w:rPr>
        <w:t>Rady Powiatu w Radziejowie</w:t>
      </w:r>
    </w:p>
    <w:p w:rsidR="009745DB" w:rsidRPr="00480E02" w:rsidRDefault="009745DB" w:rsidP="00480E02">
      <w:pPr>
        <w:pStyle w:val="Tytu"/>
        <w:spacing w:line="360" w:lineRule="auto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480E02">
        <w:rPr>
          <w:rFonts w:asciiTheme="minorHAnsi" w:hAnsiTheme="minorHAnsi" w:cstheme="minorHAnsi"/>
          <w:b/>
          <w:color w:val="auto"/>
          <w:sz w:val="32"/>
          <w:szCs w:val="32"/>
        </w:rPr>
        <w:t xml:space="preserve">z dnia </w:t>
      </w:r>
      <w:r w:rsidR="00AE67AF">
        <w:rPr>
          <w:rFonts w:asciiTheme="minorHAnsi" w:hAnsiTheme="minorHAnsi" w:cstheme="minorHAnsi"/>
          <w:b/>
          <w:color w:val="auto"/>
          <w:sz w:val="32"/>
          <w:szCs w:val="32"/>
        </w:rPr>
        <w:t>30</w:t>
      </w:r>
      <w:r w:rsidR="007029F9">
        <w:rPr>
          <w:rFonts w:asciiTheme="minorHAnsi" w:hAnsiTheme="minorHAnsi" w:cstheme="minorHAnsi"/>
          <w:b/>
          <w:color w:val="auto"/>
          <w:sz w:val="32"/>
          <w:szCs w:val="32"/>
        </w:rPr>
        <w:t xml:space="preserve"> </w:t>
      </w:r>
      <w:r w:rsidR="00AE67AF">
        <w:rPr>
          <w:rFonts w:asciiTheme="minorHAnsi" w:hAnsiTheme="minorHAnsi" w:cstheme="minorHAnsi"/>
          <w:b/>
          <w:color w:val="auto"/>
          <w:sz w:val="32"/>
          <w:szCs w:val="32"/>
        </w:rPr>
        <w:t>czerwca</w:t>
      </w:r>
      <w:r w:rsidR="007029F9">
        <w:rPr>
          <w:rFonts w:asciiTheme="minorHAnsi" w:hAnsiTheme="minorHAnsi" w:cstheme="minorHAnsi"/>
          <w:b/>
          <w:color w:val="auto"/>
          <w:sz w:val="32"/>
          <w:szCs w:val="32"/>
        </w:rPr>
        <w:t xml:space="preserve"> </w:t>
      </w:r>
      <w:r w:rsidR="00AE67AF">
        <w:rPr>
          <w:rFonts w:asciiTheme="minorHAnsi" w:hAnsiTheme="minorHAnsi" w:cstheme="minorHAnsi"/>
          <w:b/>
          <w:color w:val="auto"/>
          <w:sz w:val="32"/>
          <w:szCs w:val="32"/>
        </w:rPr>
        <w:t>2023</w:t>
      </w:r>
      <w:r w:rsidRPr="00480E02">
        <w:rPr>
          <w:rFonts w:asciiTheme="minorHAnsi" w:hAnsiTheme="minorHAnsi" w:cstheme="minorHAnsi"/>
          <w:b/>
          <w:color w:val="auto"/>
          <w:sz w:val="32"/>
          <w:szCs w:val="32"/>
        </w:rPr>
        <w:t xml:space="preserve"> r.</w:t>
      </w:r>
    </w:p>
    <w:p w:rsidR="009745DB" w:rsidRPr="00480E02" w:rsidRDefault="009745DB" w:rsidP="00480E02">
      <w:pPr>
        <w:pStyle w:val="Tytu"/>
        <w:spacing w:line="360" w:lineRule="auto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</w:p>
    <w:p w:rsidR="009745DB" w:rsidRPr="00480E02" w:rsidRDefault="009745DB" w:rsidP="00480E02">
      <w:pPr>
        <w:pStyle w:val="Tytu"/>
        <w:spacing w:line="360" w:lineRule="auto"/>
        <w:rPr>
          <w:rFonts w:asciiTheme="minorHAnsi" w:hAnsiTheme="minorHAnsi" w:cstheme="minorHAnsi"/>
          <w:b/>
          <w:i/>
          <w:color w:val="auto"/>
          <w:sz w:val="32"/>
          <w:szCs w:val="32"/>
        </w:rPr>
      </w:pPr>
      <w:r w:rsidRPr="00480E02">
        <w:rPr>
          <w:rFonts w:asciiTheme="minorHAnsi" w:hAnsiTheme="minorHAnsi" w:cstheme="minorHAnsi"/>
          <w:b/>
          <w:color w:val="auto"/>
          <w:sz w:val="32"/>
          <w:szCs w:val="32"/>
        </w:rPr>
        <w:t>w sprawie wysokości oraz zasad ustalania diet przysługującym radnym</w:t>
      </w:r>
      <w:r w:rsidR="008C08AF">
        <w:rPr>
          <w:rFonts w:asciiTheme="minorHAnsi" w:hAnsiTheme="minorHAnsi" w:cstheme="minorHAnsi"/>
          <w:b/>
          <w:color w:val="auto"/>
          <w:sz w:val="32"/>
          <w:szCs w:val="32"/>
        </w:rPr>
        <w:t>.</w:t>
      </w:r>
    </w:p>
    <w:bookmarkEnd w:id="0"/>
    <w:p w:rsidR="009745DB" w:rsidRPr="00480E02" w:rsidRDefault="009745DB" w:rsidP="00480E02">
      <w:pPr>
        <w:spacing w:before="240" w:after="240" w:line="360" w:lineRule="auto"/>
        <w:ind w:firstLine="708"/>
        <w:rPr>
          <w:rFonts w:asciiTheme="minorHAnsi" w:hAnsiTheme="minorHAnsi" w:cstheme="minorHAnsi"/>
          <w:i/>
        </w:rPr>
      </w:pPr>
      <w:r w:rsidRPr="00480E02">
        <w:rPr>
          <w:rFonts w:asciiTheme="minorHAnsi" w:hAnsiTheme="minorHAnsi" w:cstheme="minorHAnsi"/>
        </w:rPr>
        <w:t>Na podstawie art. 17 ust. 3 i art. 21 ust. 4, 4a i 5 ustawy z dnia 5 czerwca 1998 r. o samorządzie powiatowym (</w:t>
      </w:r>
      <w:r w:rsidR="00480E02">
        <w:rPr>
          <w:rFonts w:asciiTheme="minorHAnsi" w:hAnsiTheme="minorHAnsi" w:cstheme="minorHAnsi"/>
        </w:rPr>
        <w:t>Dz. U. z 2022 r. poz. 1526</w:t>
      </w:r>
      <w:r w:rsidR="00AE67AF">
        <w:rPr>
          <w:rFonts w:asciiTheme="minorHAnsi" w:hAnsiTheme="minorHAnsi" w:cstheme="minorHAnsi"/>
        </w:rPr>
        <w:t xml:space="preserve"> z </w:t>
      </w:r>
      <w:proofErr w:type="spellStart"/>
      <w:r w:rsidR="00AE67AF">
        <w:rPr>
          <w:rFonts w:asciiTheme="minorHAnsi" w:hAnsiTheme="minorHAnsi" w:cstheme="minorHAnsi"/>
        </w:rPr>
        <w:t>późn</w:t>
      </w:r>
      <w:proofErr w:type="spellEnd"/>
      <w:r w:rsidR="00AE67AF">
        <w:rPr>
          <w:rFonts w:asciiTheme="minorHAnsi" w:hAnsiTheme="minorHAnsi" w:cstheme="minorHAnsi"/>
        </w:rPr>
        <w:t>. zm.</w:t>
      </w:r>
      <w:r w:rsidR="00AE67AF">
        <w:rPr>
          <w:rStyle w:val="Odwoanieprzypisudolnego"/>
          <w:rFonts w:asciiTheme="minorHAnsi" w:hAnsiTheme="minorHAnsi" w:cstheme="minorHAnsi"/>
        </w:rPr>
        <w:footnoteReference w:id="1"/>
      </w:r>
      <w:r w:rsidRPr="00480E02">
        <w:rPr>
          <w:rFonts w:asciiTheme="minorHAnsi" w:hAnsiTheme="minorHAnsi" w:cstheme="minorHAnsi"/>
        </w:rPr>
        <w:t xml:space="preserve">), </w:t>
      </w:r>
      <w:r w:rsidR="006A6987" w:rsidRPr="00480E02">
        <w:rPr>
          <w:rFonts w:asciiTheme="minorHAnsi" w:hAnsiTheme="minorHAnsi" w:cstheme="minorHAnsi"/>
        </w:rPr>
        <w:t>oraz § 3 pkt</w:t>
      </w:r>
      <w:r w:rsidR="00E0072B" w:rsidRPr="00480E02">
        <w:rPr>
          <w:rFonts w:asciiTheme="minorHAnsi" w:hAnsiTheme="minorHAnsi" w:cstheme="minorHAnsi"/>
        </w:rPr>
        <w:t>. 3 rozporządzenia Rady Ministrów z dnia 27 października 2021 r. w sprawie maksymalnej wysokości diet przysługujących</w:t>
      </w:r>
      <w:r w:rsidR="006A6987" w:rsidRPr="00480E02">
        <w:rPr>
          <w:rFonts w:asciiTheme="minorHAnsi" w:hAnsiTheme="minorHAnsi" w:cstheme="minorHAnsi"/>
        </w:rPr>
        <w:t xml:space="preserve"> radnemu powiatu (Dz. U. z 2021, poz. </w:t>
      </w:r>
      <w:r w:rsidR="00E0072B" w:rsidRPr="00480E02">
        <w:rPr>
          <w:rFonts w:asciiTheme="minorHAnsi" w:hAnsiTheme="minorHAnsi" w:cstheme="minorHAnsi"/>
        </w:rPr>
        <w:t>1975) uchwala się, co następuje:</w:t>
      </w:r>
    </w:p>
    <w:p w:rsidR="009745DB" w:rsidRPr="00480E02" w:rsidRDefault="009745DB" w:rsidP="00AE02F4">
      <w:pPr>
        <w:spacing w:before="240" w:after="240" w:line="360" w:lineRule="auto"/>
        <w:rPr>
          <w:rFonts w:asciiTheme="minorHAnsi" w:hAnsiTheme="minorHAnsi" w:cstheme="minorHAnsi"/>
          <w:i/>
          <w:iCs/>
        </w:rPr>
      </w:pPr>
      <w:r w:rsidRPr="00480E02">
        <w:rPr>
          <w:rFonts w:asciiTheme="minorHAnsi" w:hAnsiTheme="minorHAnsi" w:cstheme="minorHAnsi"/>
          <w:b/>
        </w:rPr>
        <w:t>§ 1.1.</w:t>
      </w:r>
      <w:r w:rsidRPr="00480E02">
        <w:rPr>
          <w:rFonts w:asciiTheme="minorHAnsi" w:hAnsiTheme="minorHAnsi" w:cstheme="minorHAnsi"/>
        </w:rPr>
        <w:t xml:space="preserve">  </w:t>
      </w:r>
      <w:r w:rsidR="00E0072B" w:rsidRPr="00480E02">
        <w:rPr>
          <w:rFonts w:asciiTheme="minorHAnsi" w:hAnsiTheme="minorHAnsi" w:cstheme="minorHAnsi"/>
          <w:iCs/>
        </w:rPr>
        <w:t>Ustala się przy uwzględnieniu pełnionych funkcji w radzie diety radnych liczone jako udział procentowy aktualnej obowiązującej kwoty bazowej określonej w ustawie budżetowej dla osób zajmujących kierownicze stanowiska państwowe:</w:t>
      </w:r>
    </w:p>
    <w:p w:rsidR="00E0072B" w:rsidRPr="003A1556" w:rsidRDefault="005D43DC" w:rsidP="003A1556">
      <w:pPr>
        <w:pStyle w:val="Akapitzlist"/>
        <w:numPr>
          <w:ilvl w:val="0"/>
          <w:numId w:val="4"/>
        </w:numPr>
        <w:spacing w:before="240" w:after="240" w:line="360" w:lineRule="auto"/>
        <w:rPr>
          <w:rFonts w:asciiTheme="minorHAnsi" w:hAnsiTheme="minorHAnsi" w:cstheme="minorHAnsi"/>
        </w:rPr>
      </w:pPr>
      <w:r w:rsidRPr="003A1556">
        <w:rPr>
          <w:rFonts w:asciiTheme="minorHAnsi" w:hAnsiTheme="minorHAnsi" w:cstheme="minorHAnsi"/>
          <w:iCs/>
        </w:rPr>
        <w:t xml:space="preserve">Przewodniczący </w:t>
      </w:r>
      <w:r w:rsidR="00480E02" w:rsidRPr="003A1556">
        <w:rPr>
          <w:rFonts w:asciiTheme="minorHAnsi" w:hAnsiTheme="minorHAnsi" w:cstheme="minorHAnsi"/>
          <w:iCs/>
        </w:rPr>
        <w:t>Rady – 142</w:t>
      </w:r>
      <w:r w:rsidR="00E0072B" w:rsidRPr="003A1556">
        <w:rPr>
          <w:rFonts w:asciiTheme="minorHAnsi" w:hAnsiTheme="minorHAnsi" w:cstheme="minorHAnsi"/>
          <w:iCs/>
        </w:rPr>
        <w:t>%</w:t>
      </w:r>
      <w:r w:rsidR="00750A3C" w:rsidRPr="003A1556">
        <w:rPr>
          <w:rFonts w:asciiTheme="minorHAnsi" w:hAnsiTheme="minorHAnsi" w:cstheme="minorHAnsi"/>
          <w:iCs/>
        </w:rPr>
        <w:t>,</w:t>
      </w:r>
    </w:p>
    <w:p w:rsidR="00E0072B" w:rsidRPr="003A1556" w:rsidRDefault="00E0072B" w:rsidP="003A1556">
      <w:pPr>
        <w:pStyle w:val="Akapitzlist"/>
        <w:numPr>
          <w:ilvl w:val="0"/>
          <w:numId w:val="4"/>
        </w:numPr>
        <w:spacing w:before="240" w:after="240" w:line="360" w:lineRule="auto"/>
        <w:rPr>
          <w:rFonts w:asciiTheme="minorHAnsi" w:hAnsiTheme="minorHAnsi" w:cstheme="minorHAnsi"/>
        </w:rPr>
      </w:pPr>
      <w:r w:rsidRPr="003A1556">
        <w:rPr>
          <w:rFonts w:asciiTheme="minorHAnsi" w:hAnsiTheme="minorHAnsi" w:cstheme="minorHAnsi"/>
          <w:iCs/>
        </w:rPr>
        <w:t>Zastępca Przewodniczącego Rady –</w:t>
      </w:r>
      <w:r w:rsidR="00480E02" w:rsidRPr="003A1556">
        <w:rPr>
          <w:rFonts w:asciiTheme="minorHAnsi" w:hAnsiTheme="minorHAnsi" w:cstheme="minorHAnsi"/>
          <w:iCs/>
        </w:rPr>
        <w:t xml:space="preserve"> 112</w:t>
      </w:r>
      <w:r w:rsidRPr="003A1556">
        <w:rPr>
          <w:rFonts w:asciiTheme="minorHAnsi" w:hAnsiTheme="minorHAnsi" w:cstheme="minorHAnsi"/>
          <w:iCs/>
        </w:rPr>
        <w:t>%</w:t>
      </w:r>
      <w:r w:rsidR="00750A3C" w:rsidRPr="003A1556">
        <w:rPr>
          <w:rFonts w:asciiTheme="minorHAnsi" w:hAnsiTheme="minorHAnsi" w:cstheme="minorHAnsi"/>
          <w:iCs/>
        </w:rPr>
        <w:t>,</w:t>
      </w:r>
    </w:p>
    <w:p w:rsidR="003A1556" w:rsidRDefault="00480E02" w:rsidP="00480E02">
      <w:pPr>
        <w:pStyle w:val="Akapitzlist"/>
        <w:numPr>
          <w:ilvl w:val="0"/>
          <w:numId w:val="4"/>
        </w:numPr>
        <w:spacing w:before="240" w:after="240" w:line="360" w:lineRule="auto"/>
        <w:rPr>
          <w:rFonts w:asciiTheme="minorHAnsi" w:hAnsiTheme="minorHAnsi" w:cstheme="minorHAnsi"/>
        </w:rPr>
      </w:pPr>
      <w:r w:rsidRPr="003A1556">
        <w:rPr>
          <w:rFonts w:asciiTheme="minorHAnsi" w:hAnsiTheme="minorHAnsi" w:cstheme="minorHAnsi"/>
        </w:rPr>
        <w:t>Przewodniczący komisji – 102</w:t>
      </w:r>
      <w:r w:rsidR="00750A3C" w:rsidRPr="003A1556">
        <w:rPr>
          <w:rFonts w:asciiTheme="minorHAnsi" w:hAnsiTheme="minorHAnsi" w:cstheme="minorHAnsi"/>
        </w:rPr>
        <w:t>%,</w:t>
      </w:r>
    </w:p>
    <w:p w:rsidR="003A1556" w:rsidRDefault="00750A3C" w:rsidP="00480E02">
      <w:pPr>
        <w:pStyle w:val="Akapitzlist"/>
        <w:numPr>
          <w:ilvl w:val="0"/>
          <w:numId w:val="4"/>
        </w:numPr>
        <w:spacing w:before="240" w:after="240" w:line="360" w:lineRule="auto"/>
        <w:rPr>
          <w:rFonts w:asciiTheme="minorHAnsi" w:hAnsiTheme="minorHAnsi" w:cstheme="minorHAnsi"/>
        </w:rPr>
      </w:pPr>
      <w:r w:rsidRPr="003A1556">
        <w:rPr>
          <w:rFonts w:asciiTheme="minorHAnsi" w:hAnsiTheme="minorHAnsi" w:cstheme="minorHAnsi"/>
        </w:rPr>
        <w:t>Człon</w:t>
      </w:r>
      <w:r w:rsidR="00480E02" w:rsidRPr="003A1556">
        <w:rPr>
          <w:rFonts w:asciiTheme="minorHAnsi" w:hAnsiTheme="minorHAnsi" w:cstheme="minorHAnsi"/>
        </w:rPr>
        <w:t>kowie pracujący w komisjach – 92</w:t>
      </w:r>
      <w:r w:rsidRPr="003A1556">
        <w:rPr>
          <w:rFonts w:asciiTheme="minorHAnsi" w:hAnsiTheme="minorHAnsi" w:cstheme="minorHAnsi"/>
        </w:rPr>
        <w:t>%,</w:t>
      </w:r>
    </w:p>
    <w:p w:rsidR="003A1556" w:rsidRDefault="00480E02" w:rsidP="00480E02">
      <w:pPr>
        <w:pStyle w:val="Akapitzlist"/>
        <w:numPr>
          <w:ilvl w:val="0"/>
          <w:numId w:val="4"/>
        </w:numPr>
        <w:spacing w:before="240" w:after="240" w:line="360" w:lineRule="auto"/>
        <w:rPr>
          <w:rFonts w:asciiTheme="minorHAnsi" w:hAnsiTheme="minorHAnsi" w:cstheme="minorHAnsi"/>
        </w:rPr>
      </w:pPr>
      <w:r w:rsidRPr="003A1556">
        <w:rPr>
          <w:rFonts w:asciiTheme="minorHAnsi" w:hAnsiTheme="minorHAnsi" w:cstheme="minorHAnsi"/>
        </w:rPr>
        <w:t>Członek Zarządu – 137</w:t>
      </w:r>
      <w:r w:rsidR="00750A3C" w:rsidRPr="003A1556">
        <w:rPr>
          <w:rFonts w:asciiTheme="minorHAnsi" w:hAnsiTheme="minorHAnsi" w:cstheme="minorHAnsi"/>
        </w:rPr>
        <w:t>%,</w:t>
      </w:r>
    </w:p>
    <w:p w:rsidR="00750A3C" w:rsidRPr="003A1556" w:rsidRDefault="00750A3C" w:rsidP="00480E02">
      <w:pPr>
        <w:pStyle w:val="Akapitzlist"/>
        <w:numPr>
          <w:ilvl w:val="0"/>
          <w:numId w:val="4"/>
        </w:numPr>
        <w:spacing w:before="240" w:after="240" w:line="360" w:lineRule="auto"/>
        <w:rPr>
          <w:rFonts w:asciiTheme="minorHAnsi" w:hAnsiTheme="minorHAnsi" w:cstheme="minorHAnsi"/>
        </w:rPr>
      </w:pPr>
      <w:r w:rsidRPr="003A1556">
        <w:rPr>
          <w:rFonts w:asciiTheme="minorHAnsi" w:hAnsiTheme="minorHAnsi" w:cstheme="minorHAnsi"/>
        </w:rPr>
        <w:t>Radny nie pełni</w:t>
      </w:r>
      <w:r w:rsidR="00480E02" w:rsidRPr="003A1556">
        <w:rPr>
          <w:rFonts w:asciiTheme="minorHAnsi" w:hAnsiTheme="minorHAnsi" w:cstheme="minorHAnsi"/>
        </w:rPr>
        <w:t>ący żadnej funkcji w radzie – 62</w:t>
      </w:r>
      <w:r w:rsidRPr="003A1556">
        <w:rPr>
          <w:rFonts w:asciiTheme="minorHAnsi" w:hAnsiTheme="minorHAnsi" w:cstheme="minorHAnsi"/>
        </w:rPr>
        <w:t>%.</w:t>
      </w:r>
    </w:p>
    <w:p w:rsidR="003A1556" w:rsidRDefault="00750A3C" w:rsidP="00480E02">
      <w:pPr>
        <w:spacing w:before="240" w:after="240" w:line="360" w:lineRule="auto"/>
        <w:rPr>
          <w:rFonts w:asciiTheme="minorHAnsi" w:hAnsiTheme="minorHAnsi" w:cstheme="minorHAnsi"/>
          <w:i/>
        </w:rPr>
      </w:pPr>
      <w:r w:rsidRPr="00480E02">
        <w:rPr>
          <w:rFonts w:asciiTheme="minorHAnsi" w:hAnsiTheme="minorHAnsi" w:cstheme="minorHAnsi"/>
        </w:rPr>
        <w:t>2. Diety nalicza się w zaokrągleniu do pełnych złotych</w:t>
      </w:r>
      <w:r w:rsidR="006A6987" w:rsidRPr="00480E02">
        <w:rPr>
          <w:rFonts w:asciiTheme="minorHAnsi" w:hAnsiTheme="minorHAnsi" w:cstheme="minorHAnsi"/>
        </w:rPr>
        <w:t xml:space="preserve"> w górę</w:t>
      </w:r>
      <w:r w:rsidRPr="00480E02">
        <w:rPr>
          <w:rFonts w:asciiTheme="minorHAnsi" w:hAnsiTheme="minorHAnsi" w:cstheme="minorHAnsi"/>
        </w:rPr>
        <w:t>.</w:t>
      </w:r>
      <w:r w:rsidR="009745DB" w:rsidRPr="00480E02">
        <w:rPr>
          <w:rFonts w:asciiTheme="minorHAnsi" w:hAnsiTheme="minorHAnsi" w:cstheme="minorHAnsi"/>
        </w:rPr>
        <w:t xml:space="preserve"> </w:t>
      </w:r>
    </w:p>
    <w:p w:rsidR="00750A3C" w:rsidRPr="00480E02" w:rsidRDefault="009745DB" w:rsidP="00AE02F4">
      <w:pPr>
        <w:spacing w:before="240" w:after="240" w:line="360" w:lineRule="auto"/>
        <w:rPr>
          <w:rFonts w:asciiTheme="minorHAnsi" w:hAnsiTheme="minorHAnsi" w:cstheme="minorHAnsi"/>
          <w:i/>
        </w:rPr>
      </w:pPr>
      <w:r w:rsidRPr="00480E02">
        <w:rPr>
          <w:rFonts w:asciiTheme="minorHAnsi" w:hAnsiTheme="minorHAnsi" w:cstheme="minorHAnsi"/>
          <w:b/>
        </w:rPr>
        <w:t xml:space="preserve">§ </w:t>
      </w:r>
      <w:r w:rsidRPr="00480E02">
        <w:rPr>
          <w:rFonts w:asciiTheme="minorHAnsi" w:hAnsiTheme="minorHAnsi" w:cstheme="minorHAnsi"/>
          <w:b/>
          <w:bCs/>
        </w:rPr>
        <w:t>2.</w:t>
      </w:r>
      <w:r w:rsidRPr="00480E02">
        <w:rPr>
          <w:rFonts w:asciiTheme="minorHAnsi" w:hAnsiTheme="minorHAnsi" w:cstheme="minorHAnsi"/>
        </w:rPr>
        <w:t xml:space="preserve"> </w:t>
      </w:r>
      <w:r w:rsidR="00750A3C" w:rsidRPr="00480E02">
        <w:rPr>
          <w:rFonts w:asciiTheme="minorHAnsi" w:hAnsiTheme="minorHAnsi" w:cstheme="minorHAnsi"/>
        </w:rPr>
        <w:t>Diety wypłacane są miesięcznie z dołu.</w:t>
      </w:r>
    </w:p>
    <w:p w:rsidR="00C47FA7" w:rsidRDefault="009745DB" w:rsidP="00AE02F4">
      <w:pPr>
        <w:spacing w:before="240" w:after="240" w:line="360" w:lineRule="auto"/>
        <w:rPr>
          <w:rFonts w:asciiTheme="minorHAnsi" w:hAnsiTheme="minorHAnsi" w:cstheme="minorHAnsi"/>
        </w:rPr>
      </w:pPr>
      <w:r w:rsidRPr="00480E02">
        <w:rPr>
          <w:rFonts w:asciiTheme="minorHAnsi" w:hAnsiTheme="minorHAnsi" w:cstheme="minorHAnsi"/>
          <w:b/>
        </w:rPr>
        <w:t>§  3</w:t>
      </w:r>
      <w:r w:rsidRPr="00480E02">
        <w:rPr>
          <w:rFonts w:asciiTheme="minorHAnsi" w:hAnsiTheme="minorHAnsi" w:cstheme="minorHAnsi"/>
        </w:rPr>
        <w:t xml:space="preserve">. </w:t>
      </w:r>
      <w:r w:rsidR="00750A3C" w:rsidRPr="00480E02">
        <w:rPr>
          <w:rFonts w:asciiTheme="minorHAnsi" w:hAnsiTheme="minorHAnsi" w:cstheme="minorHAnsi"/>
        </w:rPr>
        <w:t>Z</w:t>
      </w:r>
      <w:r w:rsidR="006A6987" w:rsidRPr="00480E02">
        <w:rPr>
          <w:rFonts w:asciiTheme="minorHAnsi" w:hAnsiTheme="minorHAnsi" w:cstheme="minorHAnsi"/>
        </w:rPr>
        <w:t>a pierwszą nieobecność na sesji lub</w:t>
      </w:r>
      <w:r w:rsidR="00750A3C" w:rsidRPr="00480E02">
        <w:rPr>
          <w:rFonts w:asciiTheme="minorHAnsi" w:hAnsiTheme="minorHAnsi" w:cstheme="minorHAnsi"/>
        </w:rPr>
        <w:t xml:space="preserve"> posiedzeniu komisji Rady lub potrąca się 5% z najbliższej diety, za kolejne nieobecności po 10%.</w:t>
      </w:r>
    </w:p>
    <w:p w:rsidR="00AE67AF" w:rsidRPr="00480E02" w:rsidRDefault="00AE67AF" w:rsidP="003A1556">
      <w:pPr>
        <w:spacing w:before="240" w:after="240" w:line="360" w:lineRule="auto"/>
        <w:ind w:firstLine="708"/>
        <w:rPr>
          <w:rFonts w:asciiTheme="minorHAnsi" w:hAnsiTheme="minorHAnsi" w:cstheme="minorHAnsi"/>
        </w:rPr>
      </w:pPr>
    </w:p>
    <w:p w:rsidR="00AE02F4" w:rsidRPr="00AE02F4" w:rsidRDefault="00750A3C" w:rsidP="00AE02F4">
      <w:pPr>
        <w:spacing w:before="240" w:after="240" w:line="360" w:lineRule="auto"/>
        <w:rPr>
          <w:rFonts w:asciiTheme="minorHAnsi" w:hAnsiTheme="minorHAnsi" w:cstheme="minorHAnsi"/>
          <w:iCs/>
        </w:rPr>
      </w:pPr>
      <w:r w:rsidRPr="00480E02">
        <w:rPr>
          <w:rFonts w:asciiTheme="minorHAnsi" w:hAnsiTheme="minorHAnsi" w:cstheme="minorHAnsi"/>
          <w:b/>
        </w:rPr>
        <w:lastRenderedPageBreak/>
        <w:t>§  4</w:t>
      </w:r>
      <w:r w:rsidR="00AE67AF" w:rsidRPr="00AE67AF">
        <w:rPr>
          <w:rFonts w:asciiTheme="minorHAnsi" w:hAnsiTheme="minorHAnsi" w:cstheme="minorHAnsi"/>
        </w:rPr>
        <w:t xml:space="preserve"> </w:t>
      </w:r>
      <w:r w:rsidR="00AE02F4">
        <w:rPr>
          <w:rFonts w:asciiTheme="minorHAnsi" w:hAnsiTheme="minorHAnsi" w:cstheme="minorHAnsi"/>
          <w:iCs/>
        </w:rPr>
        <w:t>Traci moc Uchwała Nr XXXV/278/2022 Rady Powiatu w Radziejowie z dnia 28 grudnia 2022 r. w sprawie wysokości oraz zasad ustalania diet przysługującym radnym.</w:t>
      </w:r>
    </w:p>
    <w:p w:rsidR="00C47FA7" w:rsidRPr="00480E02" w:rsidRDefault="00AE02F4" w:rsidP="00AE02F4">
      <w:pPr>
        <w:spacing w:before="240" w:after="240" w:line="360" w:lineRule="auto"/>
        <w:rPr>
          <w:rFonts w:asciiTheme="minorHAnsi" w:hAnsiTheme="minorHAnsi" w:cstheme="minorHAnsi"/>
        </w:rPr>
      </w:pPr>
      <w:r w:rsidRPr="00AE02F4">
        <w:rPr>
          <w:rFonts w:asciiTheme="minorHAnsi" w:hAnsiTheme="minorHAnsi" w:cstheme="minorHAnsi"/>
          <w:b/>
        </w:rPr>
        <w:t>§ 5.</w:t>
      </w:r>
      <w:r>
        <w:rPr>
          <w:rFonts w:asciiTheme="minorHAnsi" w:hAnsiTheme="minorHAnsi" w:cstheme="minorHAnsi"/>
        </w:rPr>
        <w:t xml:space="preserve"> </w:t>
      </w:r>
      <w:r w:rsidR="00AE67AF" w:rsidRPr="00480E02">
        <w:rPr>
          <w:rFonts w:asciiTheme="minorHAnsi" w:hAnsiTheme="minorHAnsi" w:cstheme="minorHAnsi"/>
        </w:rPr>
        <w:t>Wykonanie uchwały powierza się Zarządowi Powiatu.</w:t>
      </w:r>
    </w:p>
    <w:p w:rsidR="00C47FA7" w:rsidRPr="00480E02" w:rsidRDefault="00750A3C" w:rsidP="00AE02F4">
      <w:pPr>
        <w:spacing w:before="240" w:after="240" w:line="360" w:lineRule="auto"/>
        <w:rPr>
          <w:rFonts w:asciiTheme="minorHAnsi" w:hAnsiTheme="minorHAnsi" w:cstheme="minorHAnsi"/>
        </w:rPr>
      </w:pPr>
      <w:r w:rsidRPr="00480E02">
        <w:rPr>
          <w:rFonts w:asciiTheme="minorHAnsi" w:hAnsiTheme="minorHAnsi" w:cstheme="minorHAnsi"/>
          <w:b/>
        </w:rPr>
        <w:t xml:space="preserve">§  </w:t>
      </w:r>
      <w:r w:rsidR="00AE02F4">
        <w:rPr>
          <w:rFonts w:asciiTheme="minorHAnsi" w:hAnsiTheme="minorHAnsi" w:cstheme="minorHAnsi"/>
          <w:b/>
        </w:rPr>
        <w:t>6</w:t>
      </w:r>
      <w:r w:rsidRPr="00480E02">
        <w:rPr>
          <w:rFonts w:asciiTheme="minorHAnsi" w:hAnsiTheme="minorHAnsi" w:cstheme="minorHAnsi"/>
        </w:rPr>
        <w:t xml:space="preserve">. </w:t>
      </w:r>
      <w:r w:rsidR="00AE67AF" w:rsidRPr="00480E02">
        <w:rPr>
          <w:rFonts w:asciiTheme="minorHAnsi" w:hAnsiTheme="minorHAnsi" w:cstheme="minorHAnsi"/>
        </w:rPr>
        <w:t>Uchwała wchodzi w życie</w:t>
      </w:r>
      <w:r w:rsidR="00AE67AF">
        <w:rPr>
          <w:rFonts w:asciiTheme="minorHAnsi" w:hAnsiTheme="minorHAnsi" w:cstheme="minorHAnsi"/>
        </w:rPr>
        <w:t xml:space="preserve"> po upływie 14 dni od dnia ogłoszenia w Dzienniku Urzędowym Województwa Kujawsko-Pomorskiego</w:t>
      </w:r>
      <w:r w:rsidR="00400BFF">
        <w:rPr>
          <w:rFonts w:asciiTheme="minorHAnsi" w:hAnsiTheme="minorHAnsi" w:cstheme="minorHAnsi"/>
        </w:rPr>
        <w:t xml:space="preserve"> z mocą obowiązującą od 1 stycznia 2023 r</w:t>
      </w:r>
      <w:r w:rsidR="00AE67AF">
        <w:rPr>
          <w:rFonts w:asciiTheme="minorHAnsi" w:hAnsiTheme="minorHAnsi" w:cstheme="minorHAnsi"/>
        </w:rPr>
        <w:t>.</w:t>
      </w:r>
    </w:p>
    <w:p w:rsidR="00C47FA7" w:rsidRPr="00480E02" w:rsidRDefault="00AE02F4" w:rsidP="00AE02F4">
      <w:pPr>
        <w:spacing w:before="240" w:after="240"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 7</w:t>
      </w:r>
      <w:r w:rsidR="00C47FA7" w:rsidRPr="00480E02">
        <w:rPr>
          <w:rFonts w:asciiTheme="minorHAnsi" w:hAnsiTheme="minorHAnsi" w:cstheme="minorHAnsi"/>
          <w:b/>
        </w:rPr>
        <w:t xml:space="preserve">. </w:t>
      </w:r>
      <w:r w:rsidR="00AE67AF">
        <w:rPr>
          <w:rFonts w:asciiTheme="minorHAnsi" w:hAnsiTheme="minorHAnsi" w:cstheme="minorHAnsi"/>
        </w:rPr>
        <w:t>Uchwała podlega podaniu do publicznej wiadomości poprzez ogłoszenie w Biuletynie Informacji Publicznej Starostwa Powiatowego w Radziejowie.</w:t>
      </w:r>
      <w:r w:rsidR="00C47FA7" w:rsidRPr="00480E02">
        <w:rPr>
          <w:rFonts w:asciiTheme="minorHAnsi" w:hAnsiTheme="minorHAnsi" w:cstheme="minorHAnsi"/>
          <w:b/>
        </w:rPr>
        <w:t xml:space="preserve"> </w:t>
      </w:r>
    </w:p>
    <w:p w:rsidR="009745DB" w:rsidRPr="00480E02" w:rsidRDefault="00750A3C" w:rsidP="00480E02">
      <w:pPr>
        <w:spacing w:before="240" w:after="240" w:line="360" w:lineRule="auto"/>
        <w:rPr>
          <w:rFonts w:asciiTheme="minorHAnsi" w:hAnsiTheme="minorHAnsi" w:cstheme="minorHAnsi"/>
        </w:rPr>
      </w:pPr>
      <w:r w:rsidRPr="00480E02">
        <w:rPr>
          <w:rFonts w:asciiTheme="minorHAnsi" w:hAnsiTheme="minorHAnsi" w:cstheme="minorHAnsi"/>
        </w:rPr>
        <w:t xml:space="preserve">  </w:t>
      </w:r>
    </w:p>
    <w:p w:rsidR="00C47FA7" w:rsidRPr="00480E02" w:rsidRDefault="00C47FA7" w:rsidP="00480E02">
      <w:pPr>
        <w:spacing w:before="240" w:after="240" w:line="360" w:lineRule="auto"/>
        <w:rPr>
          <w:rFonts w:asciiTheme="minorHAnsi" w:hAnsiTheme="minorHAnsi" w:cstheme="minorHAnsi"/>
        </w:rPr>
      </w:pPr>
    </w:p>
    <w:p w:rsidR="003673F3" w:rsidRPr="00480E02" w:rsidRDefault="003673F3" w:rsidP="00480E02">
      <w:pPr>
        <w:spacing w:before="240" w:after="240" w:line="360" w:lineRule="auto"/>
        <w:rPr>
          <w:rFonts w:asciiTheme="minorHAnsi" w:hAnsiTheme="minorHAnsi" w:cstheme="minorHAnsi"/>
        </w:rPr>
      </w:pPr>
    </w:p>
    <w:p w:rsidR="003673F3" w:rsidRDefault="003673F3" w:rsidP="00480E02">
      <w:pPr>
        <w:spacing w:before="240" w:after="240" w:line="360" w:lineRule="auto"/>
        <w:rPr>
          <w:rFonts w:asciiTheme="minorHAnsi" w:hAnsiTheme="minorHAnsi" w:cstheme="minorHAnsi"/>
        </w:rPr>
      </w:pPr>
    </w:p>
    <w:p w:rsidR="00480E02" w:rsidRDefault="00480E02" w:rsidP="00480E02">
      <w:pPr>
        <w:spacing w:before="240" w:after="240" w:line="360" w:lineRule="auto"/>
        <w:rPr>
          <w:rFonts w:asciiTheme="minorHAnsi" w:hAnsiTheme="minorHAnsi" w:cstheme="minorHAnsi"/>
        </w:rPr>
      </w:pPr>
    </w:p>
    <w:p w:rsidR="00480E02" w:rsidRDefault="00480E02" w:rsidP="00480E02">
      <w:pPr>
        <w:spacing w:before="240" w:after="240" w:line="360" w:lineRule="auto"/>
        <w:rPr>
          <w:rFonts w:asciiTheme="minorHAnsi" w:hAnsiTheme="minorHAnsi" w:cstheme="minorHAnsi"/>
        </w:rPr>
      </w:pPr>
    </w:p>
    <w:p w:rsidR="00480E02" w:rsidRDefault="00480E02" w:rsidP="00480E02">
      <w:pPr>
        <w:spacing w:before="240" w:after="240" w:line="360" w:lineRule="auto"/>
        <w:rPr>
          <w:rFonts w:asciiTheme="minorHAnsi" w:hAnsiTheme="minorHAnsi" w:cstheme="minorHAnsi"/>
        </w:rPr>
      </w:pPr>
    </w:p>
    <w:p w:rsidR="00480E02" w:rsidRDefault="00480E02" w:rsidP="00480E02">
      <w:pPr>
        <w:spacing w:before="240" w:after="240" w:line="360" w:lineRule="auto"/>
        <w:rPr>
          <w:rFonts w:asciiTheme="minorHAnsi" w:hAnsiTheme="minorHAnsi" w:cstheme="minorHAnsi"/>
        </w:rPr>
      </w:pPr>
    </w:p>
    <w:p w:rsidR="00480E02" w:rsidRDefault="00480E02" w:rsidP="00480E02">
      <w:pPr>
        <w:spacing w:before="240" w:after="240" w:line="360" w:lineRule="auto"/>
        <w:rPr>
          <w:rFonts w:asciiTheme="minorHAnsi" w:hAnsiTheme="minorHAnsi" w:cstheme="minorHAnsi"/>
        </w:rPr>
      </w:pPr>
    </w:p>
    <w:p w:rsidR="00480E02" w:rsidRDefault="00480E02" w:rsidP="00480E02">
      <w:pPr>
        <w:spacing w:before="240" w:after="240" w:line="360" w:lineRule="auto"/>
        <w:rPr>
          <w:rFonts w:asciiTheme="minorHAnsi" w:hAnsiTheme="minorHAnsi" w:cstheme="minorHAnsi"/>
        </w:rPr>
      </w:pPr>
    </w:p>
    <w:p w:rsidR="00480E02" w:rsidRDefault="00480E02" w:rsidP="00480E02">
      <w:pPr>
        <w:spacing w:before="240" w:after="240" w:line="360" w:lineRule="auto"/>
        <w:rPr>
          <w:rFonts w:asciiTheme="minorHAnsi" w:hAnsiTheme="minorHAnsi" w:cstheme="minorHAnsi"/>
        </w:rPr>
      </w:pPr>
    </w:p>
    <w:p w:rsidR="00480E02" w:rsidRDefault="00480E02" w:rsidP="00480E02">
      <w:pPr>
        <w:spacing w:before="240" w:after="240" w:line="360" w:lineRule="auto"/>
        <w:rPr>
          <w:rFonts w:asciiTheme="minorHAnsi" w:hAnsiTheme="minorHAnsi" w:cstheme="minorHAnsi"/>
        </w:rPr>
      </w:pPr>
    </w:p>
    <w:p w:rsidR="00480E02" w:rsidRDefault="00480E02" w:rsidP="00480E02">
      <w:pPr>
        <w:spacing w:before="240" w:after="240" w:line="360" w:lineRule="auto"/>
        <w:rPr>
          <w:rFonts w:asciiTheme="minorHAnsi" w:hAnsiTheme="minorHAnsi" w:cstheme="minorHAnsi"/>
        </w:rPr>
      </w:pPr>
    </w:p>
    <w:p w:rsidR="00C47FA7" w:rsidRDefault="00C47FA7" w:rsidP="00480E02">
      <w:pPr>
        <w:spacing w:before="240" w:after="240" w:line="360" w:lineRule="auto"/>
        <w:rPr>
          <w:rFonts w:asciiTheme="minorHAnsi" w:hAnsiTheme="minorHAnsi" w:cstheme="minorHAnsi"/>
        </w:rPr>
      </w:pPr>
    </w:p>
    <w:p w:rsidR="008B08DE" w:rsidRPr="00480E02" w:rsidRDefault="008B08DE" w:rsidP="00480E02">
      <w:pPr>
        <w:spacing w:before="240" w:after="240" w:line="360" w:lineRule="auto"/>
        <w:rPr>
          <w:rFonts w:asciiTheme="minorHAnsi" w:hAnsiTheme="minorHAnsi" w:cstheme="minorHAnsi"/>
        </w:rPr>
      </w:pPr>
    </w:p>
    <w:p w:rsidR="008B08DE" w:rsidRDefault="008B08DE" w:rsidP="008B08DE">
      <w:pPr>
        <w:pStyle w:val="Tytu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  <w:r>
        <w:rPr>
          <w:rFonts w:asciiTheme="minorHAnsi" w:hAnsiTheme="minorHAnsi" w:cstheme="minorHAnsi"/>
          <w:b/>
          <w:color w:val="auto"/>
          <w:sz w:val="32"/>
          <w:szCs w:val="32"/>
        </w:rPr>
        <w:lastRenderedPageBreak/>
        <w:t>UZASADNIENIE</w:t>
      </w:r>
    </w:p>
    <w:p w:rsidR="008B08DE" w:rsidRPr="008B08DE" w:rsidRDefault="008B08DE" w:rsidP="008B08DE">
      <w:pPr>
        <w:spacing w:line="360" w:lineRule="auto"/>
        <w:ind w:firstLine="708"/>
        <w:rPr>
          <w:rFonts w:asciiTheme="minorHAnsi" w:hAnsiTheme="minorHAnsi" w:cstheme="minorHAnsi"/>
        </w:rPr>
      </w:pPr>
      <w:r w:rsidRPr="008B08DE">
        <w:rPr>
          <w:rFonts w:asciiTheme="minorHAnsi" w:hAnsiTheme="minorHAnsi" w:cstheme="minorHAnsi"/>
        </w:rPr>
        <w:t xml:space="preserve">Prokurator Rejonowy w Radziejowie złożył skargę na uchwałę Rady Powiatu w Radziejowie nr XXXV/278/2022 z dnia 28 grudnia 2022r.  w sprawie wysokości oraz zasad ustalania diet przysługujących radnym. Prokurator zarzucił zaskarżonej uchwale naruszenie art. 94 i 88 Konstytucji RP oraz art. 40 ust.1 i art. 44 ustawy z dnia 8 marca 1998r. o samorządzie powiatowym w zw. z art. 4 ust.1 i art. 13 pkt 2 ustawy z 20 lipca 2000 r. o ogłaszaniu aktów normatywnych i niektórych aktów prawnych poprzez zaniechanie opublikowania uchwały w wojewódzkim dzienniku urzędowym. </w:t>
      </w:r>
    </w:p>
    <w:p w:rsidR="008B08DE" w:rsidRPr="008B08DE" w:rsidRDefault="008B08DE" w:rsidP="008B08DE">
      <w:pPr>
        <w:spacing w:line="360" w:lineRule="auto"/>
        <w:rPr>
          <w:rFonts w:asciiTheme="minorHAnsi" w:hAnsiTheme="minorHAnsi" w:cstheme="minorHAnsi"/>
        </w:rPr>
      </w:pPr>
      <w:r w:rsidRPr="008B08DE">
        <w:rPr>
          <w:rFonts w:asciiTheme="minorHAnsi" w:hAnsiTheme="minorHAnsi" w:cstheme="minorHAnsi"/>
        </w:rPr>
        <w:t xml:space="preserve"> </w:t>
      </w:r>
      <w:r w:rsidRPr="008B08DE">
        <w:rPr>
          <w:rFonts w:asciiTheme="minorHAnsi" w:hAnsiTheme="minorHAnsi" w:cstheme="minorHAnsi"/>
        </w:rPr>
        <w:tab/>
        <w:t xml:space="preserve">Orzecznictwo sądowe w ostatnich latach wypracowało pogląd, że uchwała w sprawie wysokości diet jest aktem prawa miejscowego, a w związku z tym uchwała w tej sprawie powinna być publikowana w  wojewódzkim dzienniku urzędowym.  Dlatego w związku z kwestionowaniem przez Prokuratora Rejonowego w Radziejowie uchwały nr XXXV/278/2022 z dnia 28 grudnia 2022r. konieczne stało się podjęcie nowej uchwały, która zostanie opublikowana w Dzienniku Urzędowym Województwa Kujawsko-Pomorskiego. Jednocześnie uchyleniu podlega uchwała nr XXXV/278/2022 z dnia 28 grudnia 2022r.  w sprawie wysokości oraz zasad ustalania diet przysługujących radnym. Ww. uchwała obowiązywała od dnia 1 stycznia 2023r. </w:t>
      </w:r>
      <w:r w:rsidRPr="008B08DE">
        <w:rPr>
          <w:rStyle w:val="gwp777f1e99size"/>
          <w:rFonts w:asciiTheme="minorHAnsi" w:hAnsiTheme="minorHAnsi" w:cstheme="minorHAnsi"/>
        </w:rPr>
        <w:t xml:space="preserve">W związku z koniecznością zapewnienia radnym prawa do diety w wysokości ustalonej w zaskarżonej uchwale, która w tej wysokości była wypłacana od dnia 1 stycznia 2023r. konieczne stało się nadanie niniejszej uchwale mocy obowiązującej od 1 stycznia 2023r. Jest to zgodne z art. 5 ustawy z dnia </w:t>
      </w:r>
      <w:r w:rsidRPr="008B08DE">
        <w:rPr>
          <w:rFonts w:asciiTheme="minorHAnsi" w:hAnsiTheme="minorHAnsi" w:cstheme="minorHAnsi"/>
        </w:rPr>
        <w:t>20 lipca 2000 r. o ogłaszaniu aktów normatywnych i niektórych innych aktów prawnych, który stanowi, że przepisy art. 4 nie wyłączają możliwości nadania aktowi normatywnemu wstecznej mocy obowiązującej, jeżeli zasady demokratycznego państwa prawnego nie stoją temu na przeszkodzie.</w:t>
      </w:r>
    </w:p>
    <w:p w:rsidR="008B08DE" w:rsidRPr="008B08DE" w:rsidRDefault="008B08DE" w:rsidP="008B08DE">
      <w:pPr>
        <w:pStyle w:val="ng-binding"/>
        <w:spacing w:line="360" w:lineRule="auto"/>
        <w:ind w:firstLine="708"/>
        <w:rPr>
          <w:rFonts w:asciiTheme="minorHAnsi" w:hAnsiTheme="minorHAnsi" w:cstheme="minorHAnsi"/>
        </w:rPr>
      </w:pPr>
      <w:r w:rsidRPr="008B08DE">
        <w:rPr>
          <w:rFonts w:asciiTheme="minorHAnsi" w:hAnsiTheme="minorHAnsi" w:cstheme="minorHAnsi"/>
        </w:rPr>
        <w:t xml:space="preserve"> Należy wskazać, że jedną z konstytucyjnych zasad państwa prawnego (</w:t>
      </w:r>
      <w:hyperlink r:id="rId8" w:anchor="/document/16798613?unitId=art(2)&amp;cm=DOCUMENT" w:history="1">
        <w:r w:rsidRPr="008B08DE">
          <w:rPr>
            <w:rStyle w:val="Hipercze"/>
            <w:rFonts w:asciiTheme="minorHAnsi" w:hAnsiTheme="minorHAnsi" w:cstheme="minorHAnsi"/>
          </w:rPr>
          <w:t>art. 2</w:t>
        </w:r>
      </w:hyperlink>
      <w:r w:rsidRPr="008B08DE">
        <w:rPr>
          <w:rFonts w:asciiTheme="minorHAnsi" w:hAnsiTheme="minorHAnsi" w:cstheme="minorHAnsi"/>
        </w:rPr>
        <w:t xml:space="preserve"> Konstytucji RP) jest zasada niedziałania prawa wstecz (lex retro non </w:t>
      </w:r>
      <w:proofErr w:type="spellStart"/>
      <w:r w:rsidRPr="008B08DE">
        <w:rPr>
          <w:rFonts w:asciiTheme="minorHAnsi" w:hAnsiTheme="minorHAnsi" w:cstheme="minorHAnsi"/>
        </w:rPr>
        <w:t>agit</w:t>
      </w:r>
      <w:proofErr w:type="spellEnd"/>
      <w:r w:rsidRPr="008B08DE">
        <w:rPr>
          <w:rFonts w:asciiTheme="minorHAnsi" w:hAnsiTheme="minorHAnsi" w:cstheme="minorHAnsi"/>
        </w:rPr>
        <w:t xml:space="preserve">). Zasada ta nie ma charakteru absolutnego i w wyjątkowych sytuacjach może zostać nadana moc wsteczna aktowi prawnemu. Problem niedziałania prawa wstecz był już przedmiotem rozważań Trybunału Konstytucyjnego. Trybunał kilkakrotnie wypowiadał się, że zakaz lex retro non </w:t>
      </w:r>
      <w:proofErr w:type="spellStart"/>
      <w:r w:rsidRPr="008B08DE">
        <w:rPr>
          <w:rFonts w:asciiTheme="minorHAnsi" w:hAnsiTheme="minorHAnsi" w:cstheme="minorHAnsi"/>
        </w:rPr>
        <w:t>agit</w:t>
      </w:r>
      <w:proofErr w:type="spellEnd"/>
      <w:r w:rsidRPr="008B08DE">
        <w:rPr>
          <w:rFonts w:asciiTheme="minorHAnsi" w:hAnsiTheme="minorHAnsi" w:cstheme="minorHAnsi"/>
        </w:rPr>
        <w:t xml:space="preserve"> dotyczy zwłaszcza przepisów normujących prawa i obowiązki obywateli, jeżeli prowadzi to do pogorszenia ich sytuacji w stosunku do stanu poprzedniego. Odstąpienie od tej zasady </w:t>
      </w:r>
      <w:r w:rsidRPr="008B08DE">
        <w:rPr>
          <w:rFonts w:asciiTheme="minorHAnsi" w:hAnsiTheme="minorHAnsi" w:cstheme="minorHAnsi"/>
        </w:rPr>
        <w:lastRenderedPageBreak/>
        <w:t xml:space="preserve">dopuszczalne jest jedynie wyjątkowo i tylko z usprawiedliwionych względów, gdy jest to konieczne dla realizacji wartości konstytucyjnej ocenianej jako ważniejsza od wartości chronionej zakazem retroakcji. </w:t>
      </w:r>
    </w:p>
    <w:p w:rsidR="008B08DE" w:rsidRPr="008B08DE" w:rsidRDefault="008B08DE" w:rsidP="008B08DE">
      <w:pPr>
        <w:pStyle w:val="gwp777f1e99msonormal"/>
        <w:spacing w:line="360" w:lineRule="auto"/>
        <w:rPr>
          <w:rStyle w:val="gwp777f1e99size"/>
          <w:rFonts w:asciiTheme="minorHAnsi" w:hAnsiTheme="minorHAnsi" w:cstheme="minorHAnsi"/>
          <w:b/>
          <w:bCs/>
        </w:rPr>
      </w:pPr>
      <w:r w:rsidRPr="008B08DE">
        <w:rPr>
          <w:rStyle w:val="gwp777f1e99size"/>
          <w:rFonts w:asciiTheme="minorHAnsi" w:hAnsiTheme="minorHAnsi" w:cstheme="minorHAnsi"/>
        </w:rPr>
        <w:t xml:space="preserve"> </w:t>
      </w:r>
      <w:r w:rsidRPr="008B08DE">
        <w:rPr>
          <w:rStyle w:val="gwp777f1e99size"/>
          <w:rFonts w:asciiTheme="minorHAnsi" w:hAnsiTheme="minorHAnsi" w:cstheme="minorHAnsi"/>
        </w:rPr>
        <w:tab/>
        <w:t>Aby wprowadzenie działania prawa z mocą wsteczną mogło być zaakceptowane w demokratycznym państwie prawnym, musi wiązać się z polepszeniem sytuacji prawnej niektórych adresatów danej normy prawnej i zarazem niepogarszaniem sytuacji prawnej pozostałych jej adresatów.</w:t>
      </w:r>
      <w:r w:rsidRPr="008B08DE">
        <w:rPr>
          <w:rStyle w:val="gwp777f1e99size"/>
          <w:rFonts w:asciiTheme="minorHAnsi" w:hAnsiTheme="minorHAnsi" w:cstheme="minorHAnsi"/>
          <w:b/>
          <w:bCs/>
        </w:rPr>
        <w:t xml:space="preserve"> </w:t>
      </w:r>
    </w:p>
    <w:p w:rsidR="008B08DE" w:rsidRPr="008B08DE" w:rsidRDefault="008B08DE" w:rsidP="008B08DE">
      <w:pPr>
        <w:pStyle w:val="gwp777f1e99msonormal"/>
        <w:spacing w:line="360" w:lineRule="auto"/>
        <w:ind w:firstLine="708"/>
        <w:rPr>
          <w:rStyle w:val="gwp777f1e99size"/>
          <w:rFonts w:asciiTheme="minorHAnsi" w:hAnsiTheme="minorHAnsi" w:cstheme="minorHAnsi"/>
        </w:rPr>
      </w:pPr>
      <w:r w:rsidRPr="008B08DE">
        <w:rPr>
          <w:rFonts w:asciiTheme="minorHAnsi" w:hAnsiTheme="minorHAnsi" w:cstheme="minorHAnsi"/>
        </w:rPr>
        <w:t>Podjęcie niniejszej uchwały wynikało wyłącznie z konieczności poprawienia  zapisów poprzedniej uchwały, tj. wprowadzenia do uchwały zapisów o jej publikacji w wojewódzkim dzienniku urzędowym.</w:t>
      </w:r>
      <w:r w:rsidRPr="008B08DE">
        <w:rPr>
          <w:rStyle w:val="gwp777f1e99size"/>
          <w:rFonts w:asciiTheme="minorHAnsi" w:hAnsiTheme="minorHAnsi" w:cstheme="minorHAnsi"/>
        </w:rPr>
        <w:t xml:space="preserve"> Uchwała  rady powiatu dotyczy określenia wysokości i zasad ustalania diet radnych i jednocześnie nie wpływa na sytuację prawną innych podmiotów. Zasady demokratycznego państwa prawnego nie stoją na przeszkodzie określeniu wejścia w życie zaskarżonej uchwały z mocą wsteczną.</w:t>
      </w:r>
    </w:p>
    <w:p w:rsidR="008B08DE" w:rsidRPr="008B08DE" w:rsidRDefault="008B08DE" w:rsidP="008B08DE">
      <w:pPr>
        <w:pStyle w:val="Nagwek2"/>
        <w:spacing w:line="360" w:lineRule="auto"/>
        <w:rPr>
          <w:rFonts w:asciiTheme="minorHAnsi" w:hAnsiTheme="minorHAnsi" w:cstheme="minorHAnsi"/>
          <w:b w:val="0"/>
          <w:bCs w:val="0"/>
          <w:color w:val="auto"/>
        </w:rPr>
      </w:pPr>
      <w:r w:rsidRPr="008B08DE">
        <w:rPr>
          <w:rStyle w:val="gwp777f1e99size"/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Z powyższych względów konieczne stało się przyjęcie uchwały o zaproponowanej treści. </w:t>
      </w:r>
    </w:p>
    <w:p w:rsidR="00C47FA7" w:rsidRPr="008B08DE" w:rsidRDefault="00C47FA7" w:rsidP="008B08DE">
      <w:pPr>
        <w:spacing w:before="240" w:after="240" w:line="360" w:lineRule="auto"/>
        <w:rPr>
          <w:rFonts w:asciiTheme="minorHAnsi" w:hAnsiTheme="minorHAnsi" w:cstheme="minorHAnsi"/>
        </w:rPr>
      </w:pPr>
      <w:r w:rsidRPr="008B08DE">
        <w:rPr>
          <w:rFonts w:asciiTheme="minorHAnsi" w:hAnsiTheme="minorHAnsi" w:cstheme="minorHAnsi"/>
        </w:rPr>
        <w:t xml:space="preserve"> </w:t>
      </w:r>
    </w:p>
    <w:p w:rsidR="00404924" w:rsidRDefault="00404924" w:rsidP="00A7476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04924" w:rsidRDefault="00404924" w:rsidP="00A7476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04924" w:rsidRDefault="00404924" w:rsidP="00A7476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04924" w:rsidRDefault="00404924" w:rsidP="00A7476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04924" w:rsidRDefault="00404924" w:rsidP="00A7476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04924" w:rsidRDefault="00404924" w:rsidP="00A7476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04924" w:rsidRDefault="00404924" w:rsidP="00A7476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04924" w:rsidRDefault="00404924" w:rsidP="00A7476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04924" w:rsidRDefault="00404924" w:rsidP="00A7476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04924" w:rsidRDefault="00404924" w:rsidP="00A7476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04924" w:rsidRDefault="00404924" w:rsidP="00A7476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04924" w:rsidRDefault="00404924" w:rsidP="00A7476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04924" w:rsidRDefault="00404924" w:rsidP="00A7476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04924" w:rsidRDefault="00404924" w:rsidP="00A7476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04924" w:rsidRDefault="00404924" w:rsidP="00A7476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04924" w:rsidRPr="00A74763" w:rsidRDefault="00404924" w:rsidP="00D06A88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sectPr w:rsidR="00404924" w:rsidRPr="00A74763" w:rsidSect="00150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3C0" w:rsidRDefault="005B13C0" w:rsidP="009745DB">
      <w:r>
        <w:separator/>
      </w:r>
    </w:p>
  </w:endnote>
  <w:endnote w:type="continuationSeparator" w:id="0">
    <w:p w:rsidR="005B13C0" w:rsidRDefault="005B13C0" w:rsidP="00974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3C0" w:rsidRDefault="005B13C0" w:rsidP="009745DB">
      <w:r>
        <w:separator/>
      </w:r>
    </w:p>
  </w:footnote>
  <w:footnote w:type="continuationSeparator" w:id="0">
    <w:p w:rsidR="005B13C0" w:rsidRDefault="005B13C0" w:rsidP="009745DB">
      <w:r>
        <w:continuationSeparator/>
      </w:r>
    </w:p>
  </w:footnote>
  <w:footnote w:id="1">
    <w:p w:rsidR="00AE67AF" w:rsidRDefault="00AE67A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E67AF">
        <w:rPr>
          <w:rFonts w:asciiTheme="minorHAnsi" w:hAnsiTheme="minorHAnsi" w:cstheme="minorHAnsi"/>
          <w:sz w:val="18"/>
          <w:szCs w:val="18"/>
        </w:rPr>
        <w:t xml:space="preserve">Zmiany tekstu jednolitego wymienionej ustawy zostały ogłoszone </w:t>
      </w:r>
      <w:r w:rsidRPr="00AE67AF">
        <w:rPr>
          <w:rFonts w:asciiTheme="minorHAnsi" w:hAnsiTheme="minorHAnsi" w:cstheme="minorHAnsi"/>
          <w:bCs/>
          <w:sz w:val="18"/>
          <w:szCs w:val="18"/>
        </w:rPr>
        <w:t>Dz. U. z 2023r., poz. 572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D6073"/>
    <w:multiLevelType w:val="hybridMultilevel"/>
    <w:tmpl w:val="66320264"/>
    <w:lvl w:ilvl="0" w:tplc="978ED2AA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EBC0DFA"/>
    <w:multiLevelType w:val="hybridMultilevel"/>
    <w:tmpl w:val="5AACCF1A"/>
    <w:lvl w:ilvl="0" w:tplc="6FF232A6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F311B18"/>
    <w:multiLevelType w:val="hybridMultilevel"/>
    <w:tmpl w:val="89A631C4"/>
    <w:lvl w:ilvl="0" w:tplc="691CB1B2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59F19F9"/>
    <w:multiLevelType w:val="hybridMultilevel"/>
    <w:tmpl w:val="63D20F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45DB"/>
    <w:rsid w:val="00026D2D"/>
    <w:rsid w:val="000514E3"/>
    <w:rsid w:val="000E1B92"/>
    <w:rsid w:val="00135F5A"/>
    <w:rsid w:val="00150EBB"/>
    <w:rsid w:val="001E0BED"/>
    <w:rsid w:val="002165E0"/>
    <w:rsid w:val="003072C6"/>
    <w:rsid w:val="003673F3"/>
    <w:rsid w:val="00373D97"/>
    <w:rsid w:val="003A1556"/>
    <w:rsid w:val="003A5BD7"/>
    <w:rsid w:val="00400BFF"/>
    <w:rsid w:val="00404924"/>
    <w:rsid w:val="00456BB3"/>
    <w:rsid w:val="00456EFB"/>
    <w:rsid w:val="00474F7D"/>
    <w:rsid w:val="00480E02"/>
    <w:rsid w:val="004947CE"/>
    <w:rsid w:val="00495A13"/>
    <w:rsid w:val="004D1662"/>
    <w:rsid w:val="00500871"/>
    <w:rsid w:val="005B13C0"/>
    <w:rsid w:val="005C251F"/>
    <w:rsid w:val="005D43DC"/>
    <w:rsid w:val="005E4BED"/>
    <w:rsid w:val="00610449"/>
    <w:rsid w:val="0062760E"/>
    <w:rsid w:val="00696A0F"/>
    <w:rsid w:val="006A6987"/>
    <w:rsid w:val="006F21DD"/>
    <w:rsid w:val="007029F9"/>
    <w:rsid w:val="00750A3C"/>
    <w:rsid w:val="00755396"/>
    <w:rsid w:val="007B1A0C"/>
    <w:rsid w:val="00824EBA"/>
    <w:rsid w:val="008B08DE"/>
    <w:rsid w:val="008C08AF"/>
    <w:rsid w:val="00922062"/>
    <w:rsid w:val="009745DB"/>
    <w:rsid w:val="009C1D19"/>
    <w:rsid w:val="00A74763"/>
    <w:rsid w:val="00AD3F0A"/>
    <w:rsid w:val="00AE02F4"/>
    <w:rsid w:val="00AE67AF"/>
    <w:rsid w:val="00AF2903"/>
    <w:rsid w:val="00B179FB"/>
    <w:rsid w:val="00B60AC1"/>
    <w:rsid w:val="00B81DC0"/>
    <w:rsid w:val="00B87D80"/>
    <w:rsid w:val="00C37D48"/>
    <w:rsid w:val="00C47FA7"/>
    <w:rsid w:val="00C51233"/>
    <w:rsid w:val="00CF48A9"/>
    <w:rsid w:val="00D06A88"/>
    <w:rsid w:val="00D22700"/>
    <w:rsid w:val="00E0072B"/>
    <w:rsid w:val="00E442D6"/>
    <w:rsid w:val="00E714D4"/>
    <w:rsid w:val="00F50DAB"/>
    <w:rsid w:val="00F9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0E80A7-93A6-4FE3-B297-24F848FE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4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745DB"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08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745D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745DB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4Znak">
    <w:name w:val="Nagłówek 4 Znak"/>
    <w:basedOn w:val="Domylnaczcionkaakapitu"/>
    <w:link w:val="Nagwek4"/>
    <w:rsid w:val="009745D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9745D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745D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9745DB"/>
    <w:rPr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745DB"/>
    <w:rPr>
      <w:rFonts w:ascii="Times New Roman" w:eastAsia="Times New Roman" w:hAnsi="Times New Roman" w:cs="Times New Roman"/>
      <w:i/>
      <w:sz w:val="24"/>
      <w:szCs w:val="20"/>
    </w:rPr>
  </w:style>
  <w:style w:type="paragraph" w:styleId="Tekstpodstawowy3">
    <w:name w:val="Body Text 3"/>
    <w:basedOn w:val="Normalny"/>
    <w:link w:val="Tekstpodstawowy3Znak"/>
    <w:rsid w:val="009745DB"/>
    <w:rPr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9745DB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Odwoanieprzypisudolnego">
    <w:name w:val="footnote reference"/>
    <w:semiHidden/>
    <w:rsid w:val="009745DB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480E02"/>
    <w:pP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80E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Akapitzlist">
    <w:name w:val="List Paragraph"/>
    <w:basedOn w:val="Normalny"/>
    <w:uiPriority w:val="34"/>
    <w:qFormat/>
    <w:rsid w:val="003A155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08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B08DE"/>
    <w:rPr>
      <w:color w:val="0000FF"/>
      <w:u w:val="single"/>
    </w:rPr>
  </w:style>
  <w:style w:type="paragraph" w:customStyle="1" w:styleId="gwp777f1e99msonormal">
    <w:name w:val="gwp777f1e99_msonormal"/>
    <w:basedOn w:val="Normalny"/>
    <w:rsid w:val="008B08DE"/>
    <w:pPr>
      <w:spacing w:before="100" w:beforeAutospacing="1" w:after="100" w:afterAutospacing="1"/>
    </w:pPr>
  </w:style>
  <w:style w:type="paragraph" w:customStyle="1" w:styleId="ng-binding">
    <w:name w:val="ng-binding"/>
    <w:basedOn w:val="Normalny"/>
    <w:rsid w:val="008B08DE"/>
    <w:pPr>
      <w:spacing w:before="100" w:beforeAutospacing="1" w:after="100" w:afterAutospacing="1"/>
    </w:pPr>
  </w:style>
  <w:style w:type="character" w:customStyle="1" w:styleId="gwp777f1e99size">
    <w:name w:val="gwp777f1e99_size"/>
    <w:basedOn w:val="Domylnaczcionkaakapitu"/>
    <w:rsid w:val="008B0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2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52B151-B430-4410-83AF-A5F622CD1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759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Tomczak</dc:creator>
  <cp:keywords/>
  <dc:description/>
  <cp:lastModifiedBy>Użytkownik systemu Windows</cp:lastModifiedBy>
  <cp:revision>32</cp:revision>
  <cp:lastPrinted>2023-06-30T07:35:00Z</cp:lastPrinted>
  <dcterms:created xsi:type="dcterms:W3CDTF">2021-11-08T09:43:00Z</dcterms:created>
  <dcterms:modified xsi:type="dcterms:W3CDTF">2023-06-30T11:56:00Z</dcterms:modified>
</cp:coreProperties>
</file>