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A1" w:rsidRPr="001B14D1" w:rsidRDefault="00367349" w:rsidP="001B14D1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B14D1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1B14D1">
        <w:rPr>
          <w:rFonts w:asciiTheme="minorHAnsi" w:hAnsiTheme="minorHAnsi" w:cstheme="minorHAnsi"/>
          <w:b/>
          <w:color w:val="auto"/>
          <w:sz w:val="32"/>
          <w:szCs w:val="32"/>
        </w:rPr>
        <w:t xml:space="preserve"> XLIII/330/2023 </w:t>
      </w:r>
    </w:p>
    <w:p w:rsidR="00367349" w:rsidRPr="001B14D1" w:rsidRDefault="00367349" w:rsidP="001B14D1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B14D1">
        <w:rPr>
          <w:rFonts w:asciiTheme="minorHAnsi" w:hAnsiTheme="minorHAnsi" w:cstheme="minorHAnsi"/>
          <w:b/>
          <w:color w:val="auto"/>
          <w:sz w:val="32"/>
          <w:szCs w:val="32"/>
        </w:rPr>
        <w:t>Rady Powiatu Radziejowskiego</w:t>
      </w:r>
    </w:p>
    <w:p w:rsidR="001B14D1" w:rsidRDefault="00AF78AD" w:rsidP="001B14D1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B14D1">
        <w:rPr>
          <w:rFonts w:asciiTheme="minorHAnsi" w:hAnsiTheme="minorHAnsi" w:cstheme="minorHAnsi"/>
          <w:b/>
          <w:color w:val="auto"/>
          <w:sz w:val="32"/>
          <w:szCs w:val="32"/>
        </w:rPr>
        <w:t>z</w:t>
      </w:r>
      <w:r w:rsidR="00367349" w:rsidRPr="001B14D1">
        <w:rPr>
          <w:rFonts w:asciiTheme="minorHAnsi" w:hAnsiTheme="minorHAnsi" w:cstheme="minorHAnsi"/>
          <w:b/>
          <w:color w:val="auto"/>
          <w:sz w:val="32"/>
          <w:szCs w:val="32"/>
        </w:rPr>
        <w:t xml:space="preserve"> dnia</w:t>
      </w:r>
      <w:r w:rsidR="001B14D1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22 grudnia 2023 roku</w:t>
      </w:r>
    </w:p>
    <w:p w:rsidR="001B14D1" w:rsidRPr="001B14D1" w:rsidRDefault="001B14D1" w:rsidP="001B14D1"/>
    <w:p w:rsidR="00367349" w:rsidRPr="001B14D1" w:rsidRDefault="00367349" w:rsidP="001B14D1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B14D1">
        <w:rPr>
          <w:rFonts w:asciiTheme="minorHAnsi" w:hAnsiTheme="minorHAnsi" w:cstheme="minorHAnsi"/>
          <w:b/>
          <w:color w:val="auto"/>
          <w:sz w:val="32"/>
          <w:szCs w:val="32"/>
        </w:rPr>
        <w:t>w sprawie ustalenia wysokości opłat za usunięcie i przechowywanie statków</w:t>
      </w:r>
      <w:r w:rsidR="00A503A7" w:rsidRPr="001B14D1">
        <w:rPr>
          <w:rFonts w:asciiTheme="minorHAnsi" w:hAnsiTheme="minorHAnsi" w:cstheme="minorHAnsi"/>
          <w:b/>
          <w:color w:val="auto"/>
          <w:sz w:val="32"/>
          <w:szCs w:val="32"/>
        </w:rPr>
        <w:t xml:space="preserve"> lub obiektów pływających w 2024</w:t>
      </w:r>
      <w:r w:rsidRPr="001B14D1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367349" w:rsidRPr="00892AC9" w:rsidRDefault="00367349">
      <w:pPr>
        <w:rPr>
          <w:sz w:val="24"/>
          <w:szCs w:val="24"/>
        </w:rPr>
      </w:pPr>
    </w:p>
    <w:p w:rsidR="00367349" w:rsidRPr="001B14D1" w:rsidRDefault="00367349" w:rsidP="001B14D1">
      <w:pPr>
        <w:spacing w:line="360" w:lineRule="auto"/>
        <w:ind w:firstLine="708"/>
        <w:rPr>
          <w:sz w:val="24"/>
          <w:szCs w:val="24"/>
        </w:rPr>
      </w:pPr>
      <w:r w:rsidRPr="001B14D1">
        <w:rPr>
          <w:sz w:val="24"/>
          <w:szCs w:val="24"/>
        </w:rPr>
        <w:t>Na podstawie art. 12 pkt. 11 ustawy z dnia 5 czerwca 1998 r. o samorządzie powiatowym</w:t>
      </w:r>
      <w:r w:rsidR="009A769A" w:rsidRPr="001B14D1">
        <w:rPr>
          <w:sz w:val="24"/>
          <w:szCs w:val="24"/>
        </w:rPr>
        <w:t xml:space="preserve"> (Dz. U. z </w:t>
      </w:r>
      <w:r w:rsidR="00414B90" w:rsidRPr="001B14D1">
        <w:rPr>
          <w:sz w:val="24"/>
          <w:szCs w:val="24"/>
        </w:rPr>
        <w:t>2022, poz. 1526</w:t>
      </w:r>
      <w:r w:rsidR="00474F82" w:rsidRPr="001B14D1">
        <w:rPr>
          <w:sz w:val="24"/>
          <w:szCs w:val="24"/>
        </w:rPr>
        <w:t xml:space="preserve"> z </w:t>
      </w:r>
      <w:proofErr w:type="spellStart"/>
      <w:r w:rsidR="00474F82" w:rsidRPr="001B14D1">
        <w:rPr>
          <w:sz w:val="24"/>
          <w:szCs w:val="24"/>
        </w:rPr>
        <w:t>późn</w:t>
      </w:r>
      <w:proofErr w:type="spellEnd"/>
      <w:r w:rsidR="00474F82" w:rsidRPr="001B14D1">
        <w:rPr>
          <w:sz w:val="24"/>
          <w:szCs w:val="24"/>
        </w:rPr>
        <w:t xml:space="preserve"> zm.</w:t>
      </w:r>
      <w:r w:rsidR="001B14D1">
        <w:rPr>
          <w:rStyle w:val="Odwoanieprzypisudolnego"/>
          <w:sz w:val="24"/>
          <w:szCs w:val="24"/>
        </w:rPr>
        <w:footnoteReference w:id="1"/>
      </w:r>
      <w:r w:rsidR="00414B90" w:rsidRPr="001B14D1">
        <w:rPr>
          <w:sz w:val="24"/>
          <w:szCs w:val="24"/>
        </w:rPr>
        <w:t>) oraz art. 31 ust. 1 i 2 ustawy z dnia 18 sierpnia 2011 r. o bezpieczeństwie osób przebywających na o</w:t>
      </w:r>
      <w:r w:rsidR="001B14D1">
        <w:rPr>
          <w:sz w:val="24"/>
          <w:szCs w:val="24"/>
        </w:rPr>
        <w:t>bszarach wodnych (</w:t>
      </w:r>
      <w:r w:rsidR="00474F82" w:rsidRPr="001B14D1">
        <w:rPr>
          <w:sz w:val="24"/>
          <w:szCs w:val="24"/>
        </w:rPr>
        <w:t xml:space="preserve">Dz. U. z 2023, poz. 714 z </w:t>
      </w:r>
      <w:proofErr w:type="spellStart"/>
      <w:r w:rsidR="00474F82" w:rsidRPr="001B14D1">
        <w:rPr>
          <w:sz w:val="24"/>
          <w:szCs w:val="24"/>
        </w:rPr>
        <w:t>późn</w:t>
      </w:r>
      <w:proofErr w:type="spellEnd"/>
      <w:r w:rsidR="00474F82" w:rsidRPr="001B14D1">
        <w:rPr>
          <w:sz w:val="24"/>
          <w:szCs w:val="24"/>
        </w:rPr>
        <w:t>. zm.</w:t>
      </w:r>
      <w:r w:rsidR="001B14D1">
        <w:rPr>
          <w:rStyle w:val="Odwoanieprzypisudolnego"/>
          <w:sz w:val="24"/>
          <w:szCs w:val="24"/>
        </w:rPr>
        <w:footnoteReference w:id="2"/>
      </w:r>
      <w:r w:rsidR="00414B90" w:rsidRPr="001B14D1">
        <w:rPr>
          <w:sz w:val="24"/>
          <w:szCs w:val="24"/>
        </w:rPr>
        <w:t>), w związku z obwieszczeniem Ministra Finansów z dnia 28 lipca 2022 r. w sprawie maksymalnych opłat za usunięcie i przechowywanie statków lub innych obiektów p</w:t>
      </w:r>
      <w:r w:rsidR="001B14D1">
        <w:rPr>
          <w:sz w:val="24"/>
          <w:szCs w:val="24"/>
        </w:rPr>
        <w:t>ływających na rok 2023 (</w:t>
      </w:r>
      <w:r w:rsidR="00474F82" w:rsidRPr="001B14D1">
        <w:rPr>
          <w:sz w:val="24"/>
          <w:szCs w:val="24"/>
        </w:rPr>
        <w:t>MP.2023, poz. 781</w:t>
      </w:r>
      <w:r w:rsidR="00414B90" w:rsidRPr="001B14D1">
        <w:rPr>
          <w:sz w:val="24"/>
          <w:szCs w:val="24"/>
        </w:rPr>
        <w:t>) uchwala się, co następuje:</w:t>
      </w:r>
    </w:p>
    <w:p w:rsidR="00414B90" w:rsidRPr="001B14D1" w:rsidRDefault="00414B90" w:rsidP="001B14D1">
      <w:pPr>
        <w:spacing w:line="360" w:lineRule="auto"/>
        <w:rPr>
          <w:sz w:val="24"/>
          <w:szCs w:val="24"/>
        </w:rPr>
      </w:pPr>
      <w:r w:rsidRPr="001B14D1">
        <w:rPr>
          <w:b/>
          <w:sz w:val="24"/>
          <w:szCs w:val="24"/>
        </w:rPr>
        <w:t>§ 1.</w:t>
      </w:r>
      <w:r w:rsidRPr="001B14D1">
        <w:rPr>
          <w:sz w:val="24"/>
          <w:szCs w:val="24"/>
        </w:rPr>
        <w:t xml:space="preserve"> Ustala się opłaty za usunięcie i przechowywanie statku lub innego obiektu pływającego na obszarze Powiatu Radziejowskiego w przypadku:</w:t>
      </w:r>
    </w:p>
    <w:p w:rsidR="00414B90" w:rsidRPr="001B14D1" w:rsidRDefault="00414B90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>usunięcia</w:t>
      </w:r>
      <w:r w:rsidR="00892AC9" w:rsidRPr="001B14D1">
        <w:rPr>
          <w:sz w:val="24"/>
          <w:szCs w:val="24"/>
        </w:rPr>
        <w:t>: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 xml:space="preserve">roweru </w:t>
      </w:r>
      <w:r w:rsidR="00A503A7" w:rsidRPr="001B14D1">
        <w:rPr>
          <w:sz w:val="24"/>
          <w:szCs w:val="24"/>
        </w:rPr>
        <w:t>wodnego lub skutera wodnego – 84</w:t>
      </w:r>
      <w:r w:rsidRPr="001B14D1">
        <w:rPr>
          <w:sz w:val="24"/>
          <w:szCs w:val="24"/>
        </w:rPr>
        <w:t xml:space="preserve"> zł,</w:t>
      </w:r>
    </w:p>
    <w:p w:rsidR="00892AC9" w:rsidRPr="001B14D1" w:rsidRDefault="00A503A7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>poduszkowca – 157</w:t>
      </w:r>
      <w:r w:rsidR="00892AC9" w:rsidRPr="001B14D1">
        <w:rPr>
          <w:sz w:val="24"/>
          <w:szCs w:val="24"/>
        </w:rPr>
        <w:t xml:space="preserve"> zł,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 xml:space="preserve">statku </w:t>
      </w:r>
      <w:r w:rsidR="00A503A7" w:rsidRPr="001B14D1">
        <w:rPr>
          <w:sz w:val="24"/>
          <w:szCs w:val="24"/>
        </w:rPr>
        <w:t>o długości kadłuba do 10 m – 190</w:t>
      </w:r>
      <w:r w:rsidRPr="001B14D1">
        <w:rPr>
          <w:sz w:val="24"/>
          <w:szCs w:val="24"/>
        </w:rPr>
        <w:t xml:space="preserve"> zł,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 xml:space="preserve">statku </w:t>
      </w:r>
      <w:r w:rsidR="00A503A7" w:rsidRPr="001B14D1">
        <w:rPr>
          <w:sz w:val="24"/>
          <w:szCs w:val="24"/>
        </w:rPr>
        <w:t>o długości kadłuba do 20 m – 233</w:t>
      </w:r>
      <w:r w:rsidRPr="001B14D1">
        <w:rPr>
          <w:sz w:val="24"/>
          <w:szCs w:val="24"/>
        </w:rPr>
        <w:t xml:space="preserve"> zł,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>statku o dłu</w:t>
      </w:r>
      <w:r w:rsidR="00A503A7" w:rsidRPr="001B14D1">
        <w:rPr>
          <w:sz w:val="24"/>
          <w:szCs w:val="24"/>
        </w:rPr>
        <w:t>gości kadłuba powyżej 20 m – 308</w:t>
      </w:r>
      <w:r w:rsidRPr="001B14D1">
        <w:rPr>
          <w:sz w:val="24"/>
          <w:szCs w:val="24"/>
        </w:rPr>
        <w:t xml:space="preserve"> zł;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>za każdą dobę przechowywania: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lastRenderedPageBreak/>
        <w:t xml:space="preserve">roweru </w:t>
      </w:r>
      <w:r w:rsidR="00A503A7" w:rsidRPr="001B14D1">
        <w:rPr>
          <w:sz w:val="24"/>
          <w:szCs w:val="24"/>
        </w:rPr>
        <w:t>wodnego lub skutera wodnego – 30</w:t>
      </w:r>
      <w:r w:rsidRPr="001B14D1">
        <w:rPr>
          <w:sz w:val="24"/>
          <w:szCs w:val="24"/>
        </w:rPr>
        <w:t xml:space="preserve"> zł,</w:t>
      </w:r>
    </w:p>
    <w:p w:rsidR="00892AC9" w:rsidRPr="001B14D1" w:rsidRDefault="00A503A7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>poduszkowca – 53</w:t>
      </w:r>
      <w:r w:rsidR="00892AC9" w:rsidRPr="001B14D1">
        <w:rPr>
          <w:sz w:val="24"/>
          <w:szCs w:val="24"/>
        </w:rPr>
        <w:t xml:space="preserve"> zł,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>sta</w:t>
      </w:r>
      <w:r w:rsidR="00A503A7" w:rsidRPr="001B14D1">
        <w:rPr>
          <w:sz w:val="24"/>
          <w:szCs w:val="24"/>
        </w:rPr>
        <w:t xml:space="preserve">tku o długości kadłuba do 10 m 84 </w:t>
      </w:r>
      <w:r w:rsidRPr="001B14D1">
        <w:rPr>
          <w:sz w:val="24"/>
          <w:szCs w:val="24"/>
        </w:rPr>
        <w:t>zł,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 xml:space="preserve">statku </w:t>
      </w:r>
      <w:r w:rsidR="00A503A7" w:rsidRPr="001B14D1">
        <w:rPr>
          <w:sz w:val="24"/>
          <w:szCs w:val="24"/>
        </w:rPr>
        <w:t>o długości kadłuba do 20 m – 157</w:t>
      </w:r>
      <w:r w:rsidRPr="001B14D1">
        <w:rPr>
          <w:sz w:val="24"/>
          <w:szCs w:val="24"/>
        </w:rPr>
        <w:t xml:space="preserve"> zł,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>statku o dłu</w:t>
      </w:r>
      <w:r w:rsidR="00A503A7" w:rsidRPr="001B14D1">
        <w:rPr>
          <w:sz w:val="24"/>
          <w:szCs w:val="24"/>
        </w:rPr>
        <w:t>gości kadłuba powyżej 20 m – 233</w:t>
      </w:r>
      <w:r w:rsidRPr="001B14D1">
        <w:rPr>
          <w:sz w:val="24"/>
          <w:szCs w:val="24"/>
        </w:rPr>
        <w:t xml:space="preserve"> zł.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b/>
          <w:sz w:val="24"/>
          <w:szCs w:val="24"/>
        </w:rPr>
        <w:t>§</w:t>
      </w:r>
      <w:r w:rsidR="00AA4FC2" w:rsidRPr="001B14D1">
        <w:rPr>
          <w:b/>
          <w:sz w:val="24"/>
          <w:szCs w:val="24"/>
        </w:rPr>
        <w:t xml:space="preserve"> 2</w:t>
      </w:r>
      <w:r w:rsidRPr="001B14D1">
        <w:rPr>
          <w:b/>
          <w:sz w:val="24"/>
          <w:szCs w:val="24"/>
        </w:rPr>
        <w:t>.</w:t>
      </w:r>
      <w:r w:rsidRPr="001B14D1">
        <w:rPr>
          <w:sz w:val="24"/>
          <w:szCs w:val="24"/>
        </w:rPr>
        <w:t xml:space="preserve"> Wykonanie uchwały powierza się Zarządowi Powiatu.</w:t>
      </w:r>
    </w:p>
    <w:p w:rsidR="00892AC9" w:rsidRPr="001B14D1" w:rsidRDefault="00892AC9" w:rsidP="001B14D1">
      <w:pPr>
        <w:spacing w:line="360" w:lineRule="auto"/>
        <w:rPr>
          <w:sz w:val="24"/>
          <w:szCs w:val="24"/>
        </w:rPr>
      </w:pPr>
      <w:r w:rsidRPr="001B14D1">
        <w:rPr>
          <w:b/>
          <w:sz w:val="24"/>
          <w:szCs w:val="24"/>
        </w:rPr>
        <w:t>§ 3.</w:t>
      </w:r>
      <w:r w:rsidRPr="001B14D1">
        <w:rPr>
          <w:sz w:val="24"/>
          <w:szCs w:val="24"/>
        </w:rPr>
        <w:t xml:space="preserve"> Uchwała wchodzi w życie po upływie 14 dni od dnia ogłoszenia w Dzienniku Urzędowym Województwa Kujawsko-Pomorskiego.</w:t>
      </w:r>
    </w:p>
    <w:p w:rsidR="00B640CE" w:rsidRPr="001B14D1" w:rsidRDefault="00B640CE" w:rsidP="001B14D1">
      <w:pPr>
        <w:spacing w:line="360" w:lineRule="auto"/>
        <w:rPr>
          <w:sz w:val="24"/>
          <w:szCs w:val="24"/>
        </w:rPr>
      </w:pPr>
    </w:p>
    <w:p w:rsidR="00B640CE" w:rsidRDefault="00B640CE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892AC9">
      <w:pPr>
        <w:jc w:val="both"/>
        <w:rPr>
          <w:sz w:val="24"/>
          <w:szCs w:val="24"/>
        </w:rPr>
      </w:pPr>
    </w:p>
    <w:p w:rsidR="001B14D1" w:rsidRDefault="001B14D1" w:rsidP="00474F82">
      <w:pPr>
        <w:jc w:val="both"/>
        <w:rPr>
          <w:sz w:val="24"/>
          <w:szCs w:val="24"/>
        </w:rPr>
      </w:pPr>
    </w:p>
    <w:p w:rsidR="00B640CE" w:rsidRDefault="001B14D1" w:rsidP="001B14D1">
      <w:pPr>
        <w:pStyle w:val="Nagwek1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Uzasadnienie</w:t>
      </w:r>
    </w:p>
    <w:p w:rsidR="001B14D1" w:rsidRPr="001B14D1" w:rsidRDefault="001B14D1" w:rsidP="001B14D1"/>
    <w:p w:rsidR="00B640CE" w:rsidRPr="001B14D1" w:rsidRDefault="00B640CE" w:rsidP="001B14D1">
      <w:pPr>
        <w:spacing w:line="360" w:lineRule="auto"/>
        <w:rPr>
          <w:sz w:val="24"/>
          <w:szCs w:val="24"/>
        </w:rPr>
      </w:pPr>
      <w:r w:rsidRPr="001B14D1">
        <w:rPr>
          <w:sz w:val="24"/>
          <w:szCs w:val="24"/>
        </w:rPr>
        <w:t>Ustawa z dnia 18 sierpnia 2011 r. o bezpieczeństwie osób przebywających na obszarach wodnych</w:t>
      </w:r>
      <w:r w:rsidR="0026273E" w:rsidRPr="001B14D1">
        <w:rPr>
          <w:sz w:val="24"/>
          <w:szCs w:val="24"/>
        </w:rPr>
        <w:t xml:space="preserve"> </w:t>
      </w:r>
      <w:r w:rsidR="00474F82" w:rsidRPr="001B14D1">
        <w:rPr>
          <w:sz w:val="24"/>
          <w:szCs w:val="24"/>
        </w:rPr>
        <w:t>(Dz. U. z 2023</w:t>
      </w:r>
      <w:r w:rsidRPr="001B14D1">
        <w:rPr>
          <w:sz w:val="24"/>
          <w:szCs w:val="24"/>
        </w:rPr>
        <w:t xml:space="preserve"> </w:t>
      </w:r>
      <w:r w:rsidR="00474F82" w:rsidRPr="001B14D1">
        <w:rPr>
          <w:sz w:val="24"/>
          <w:szCs w:val="24"/>
        </w:rPr>
        <w:t xml:space="preserve">r. poz. 714 z </w:t>
      </w:r>
      <w:proofErr w:type="spellStart"/>
      <w:r w:rsidR="00474F82" w:rsidRPr="001B14D1">
        <w:rPr>
          <w:sz w:val="24"/>
          <w:szCs w:val="24"/>
        </w:rPr>
        <w:t>późn</w:t>
      </w:r>
      <w:proofErr w:type="spellEnd"/>
      <w:r w:rsidR="00474F82" w:rsidRPr="001B14D1">
        <w:rPr>
          <w:sz w:val="24"/>
          <w:szCs w:val="24"/>
        </w:rPr>
        <w:t>. zm.</w:t>
      </w:r>
      <w:r w:rsidRPr="001B14D1">
        <w:rPr>
          <w:sz w:val="24"/>
          <w:szCs w:val="24"/>
        </w:rPr>
        <w:t>) nakłada na Powiat obowiązki prawne związane z bezpieczeństwem na obszarach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wodnych. Zgodnie z art. 30 w/w ustawy, statek lub inny obiekt pływający może zostać usunięty z obszaru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wodnego, w sytuacji gdy nie ma możliwości zabez</w:t>
      </w:r>
      <w:r w:rsidR="0026273E" w:rsidRPr="001B14D1">
        <w:rPr>
          <w:sz w:val="24"/>
          <w:szCs w:val="24"/>
        </w:rPr>
        <w:t xml:space="preserve">pieczenia go w inny sposób albo </w:t>
      </w:r>
      <w:r w:rsidRPr="001B14D1">
        <w:rPr>
          <w:sz w:val="24"/>
          <w:szCs w:val="24"/>
        </w:rPr>
        <w:t>gdy prowadziła go osoba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znajdująca się w stanie po użyciu alkoholu lub pod</w:t>
      </w:r>
      <w:r w:rsidR="0026273E" w:rsidRPr="001B14D1">
        <w:rPr>
          <w:sz w:val="24"/>
          <w:szCs w:val="24"/>
        </w:rPr>
        <w:t xml:space="preserve">obnie działającego </w:t>
      </w:r>
      <w:r w:rsidRPr="001B14D1">
        <w:rPr>
          <w:sz w:val="24"/>
          <w:szCs w:val="24"/>
        </w:rPr>
        <w:t>środka. Decyzję o usunięciu statku lub</w:t>
      </w:r>
      <w:r w:rsidR="0026273E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innego obiektu pływającego podejmuje policjant.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Jeżeli statek lub inny obiekt pływający jest usuwany to w konsekwencji tego należy wprowadzić go do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strzeżonego portu lub do przystani. W sytuacji gdy nie ma dostatecznie blisko strzeżonego portu lub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przystani pozostawia się go na wyznaczonym przez starostę parkingu strzeżonym do chwili uiszczenia opłat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za jego usunięcie i przechowywanie. Usuwanie statków lub innych obiektów pływających należy do zadań</w:t>
      </w:r>
      <w:r w:rsidR="007B07B9" w:rsidRPr="001B14D1">
        <w:rPr>
          <w:sz w:val="24"/>
          <w:szCs w:val="24"/>
        </w:rPr>
        <w:t xml:space="preserve"> </w:t>
      </w:r>
      <w:r w:rsidR="001B14D1" w:rsidRPr="001B14D1">
        <w:rPr>
          <w:sz w:val="24"/>
          <w:szCs w:val="24"/>
        </w:rPr>
        <w:t xml:space="preserve">własnych powiatu. </w:t>
      </w:r>
      <w:r w:rsidRPr="001B14D1">
        <w:rPr>
          <w:sz w:val="24"/>
          <w:szCs w:val="24"/>
        </w:rPr>
        <w:t>Zgodnie z art. 31 ust. 1 ustawy, rada powiatu corocznie ustala w drodze uchwały wysokość opłat za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usunięcie statku lub innego obiektu pływającego i za jego przechowywanie. Musi przy tym przestrzegać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wyznaczonej przez Ministra Finansów maksymalnej stawki. Minister Finansów wydał obwieszczenie, w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którym określił maksymalną stawkę opłat za usunięcie i przechowywanie statków lub innych obiektów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 xml:space="preserve">pływających </w:t>
      </w:r>
      <w:r w:rsidR="00474F82" w:rsidRPr="001B14D1">
        <w:rPr>
          <w:sz w:val="24"/>
          <w:szCs w:val="24"/>
        </w:rPr>
        <w:t>na rok 2023 (MP. poz. 781</w:t>
      </w:r>
      <w:r w:rsidR="001B14D1" w:rsidRPr="001B14D1">
        <w:rPr>
          <w:sz w:val="24"/>
          <w:szCs w:val="24"/>
        </w:rPr>
        <w:t xml:space="preserve">). </w:t>
      </w:r>
      <w:r w:rsidRPr="001B14D1">
        <w:rPr>
          <w:sz w:val="24"/>
          <w:szCs w:val="24"/>
        </w:rPr>
        <w:t>Opłaty ustalono w maksymalnej dopuszczalnej wysokości, aby w</w:t>
      </w:r>
      <w:r w:rsidR="0026273E" w:rsidRPr="001B14D1">
        <w:rPr>
          <w:sz w:val="24"/>
          <w:szCs w:val="24"/>
        </w:rPr>
        <w:t xml:space="preserve"> jak najwyższym stopniu pokryły </w:t>
      </w:r>
      <w:r w:rsidRPr="001B14D1">
        <w:rPr>
          <w:sz w:val="24"/>
          <w:szCs w:val="24"/>
        </w:rPr>
        <w:t>koszty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związane z realizacją przedmiotowego zadania.</w:t>
      </w:r>
      <w:r w:rsidRPr="001B14D1">
        <w:rPr>
          <w:sz w:val="24"/>
          <w:szCs w:val="24"/>
        </w:rPr>
        <w:br/>
        <w:t xml:space="preserve">Należy zauważyć, iż dotychczas na terenie powiatu </w:t>
      </w:r>
      <w:r w:rsidR="007B07B9" w:rsidRPr="001B14D1">
        <w:rPr>
          <w:sz w:val="24"/>
          <w:szCs w:val="24"/>
        </w:rPr>
        <w:t>radziejowskiego</w:t>
      </w:r>
      <w:r w:rsidRPr="001B14D1">
        <w:rPr>
          <w:sz w:val="24"/>
          <w:szCs w:val="24"/>
        </w:rPr>
        <w:t xml:space="preserve"> przedmiotowe zadanie nie było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realizowane, a więc ze względu braku danych historycznych nie jest możliwe przeprowadzenie kalkulacji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 xml:space="preserve">kosztów realizacji zadania. W regionie powiatu </w:t>
      </w:r>
      <w:r w:rsidR="007B07B9" w:rsidRPr="001B14D1">
        <w:rPr>
          <w:sz w:val="24"/>
          <w:szCs w:val="24"/>
        </w:rPr>
        <w:t>radziejowskiego</w:t>
      </w:r>
      <w:r w:rsidRPr="001B14D1">
        <w:rPr>
          <w:sz w:val="24"/>
          <w:szCs w:val="24"/>
        </w:rPr>
        <w:t>, na którym odbywa się ruch wodny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powodujący konieczność podejmowania odpowiednich działań rynek takich usług jest znikomy. Wobec tego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do kalkulacji stawki oraz porównania określonych stawek</w:t>
      </w:r>
      <w:r w:rsidR="0026273E" w:rsidRPr="001B14D1">
        <w:rPr>
          <w:sz w:val="24"/>
          <w:szCs w:val="24"/>
        </w:rPr>
        <w:t xml:space="preserve"> zebrano informacje od podmiotu świadczącego</w:t>
      </w:r>
      <w:r w:rsidR="007B07B9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 xml:space="preserve">usługi postoju oraz usuwania jednostek pływających </w:t>
      </w:r>
      <w:r w:rsidR="0026273E" w:rsidRPr="001B14D1">
        <w:rPr>
          <w:sz w:val="24"/>
          <w:szCs w:val="24"/>
        </w:rPr>
        <w:t>z innego powiatu</w:t>
      </w:r>
      <w:r w:rsidRPr="001B14D1">
        <w:rPr>
          <w:sz w:val="24"/>
          <w:szCs w:val="24"/>
        </w:rPr>
        <w:t>. Pod uwagę</w:t>
      </w:r>
      <w:r w:rsidR="0026273E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należy wziąć ustawowo określaną konieczność sprawnego usuwania i przechowywania statków oraz innych</w:t>
      </w:r>
      <w:r w:rsidR="003C755B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obiektów pływających, a także koszt holowania obiektów na terenie akwenów wodnych specjalistycznym</w:t>
      </w:r>
      <w:r w:rsidR="003C755B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sprzętem oraz transport tych obiektów drogą lądową. Ze względu na to, iż na terenie powiatu brak jest</w:t>
      </w:r>
      <w:r w:rsidR="003C755B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 xml:space="preserve">strzeżonych obiektów spełniających wymogi art. 30 ust. 3 </w:t>
      </w:r>
      <w:r w:rsidRPr="001B14D1">
        <w:rPr>
          <w:sz w:val="24"/>
          <w:szCs w:val="24"/>
        </w:rPr>
        <w:lastRenderedPageBreak/>
        <w:t>ustawy o bezpieczeństwie osób przebywających</w:t>
      </w:r>
      <w:r w:rsidR="003C755B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na obszarach wodnych, tj. strzeżonego portu lub przystani, wobec czego w przypadku zaistnienia</w:t>
      </w:r>
      <w:r w:rsidR="0026273E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konieczności wykonania usunięcia statku lub innego obiektu z obszaru wodnego</w:t>
      </w:r>
      <w:r w:rsidR="0026273E" w:rsidRPr="001B14D1">
        <w:rPr>
          <w:sz w:val="24"/>
          <w:szCs w:val="24"/>
        </w:rPr>
        <w:t>,</w:t>
      </w:r>
      <w:r w:rsidRPr="001B14D1">
        <w:rPr>
          <w:sz w:val="24"/>
          <w:szCs w:val="24"/>
        </w:rPr>
        <w:t xml:space="preserve"> należy uwzględnić koszty</w:t>
      </w:r>
      <w:r w:rsidR="003C755B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pozostawienia i obsługi na wyznaczonym przez Starostę parkingu strzeżonym. Ponadto jednostki pływające</w:t>
      </w:r>
      <w:r w:rsidR="003C755B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to nie pojazdy drogowe, które można by wciągnąć na platformę pomocy drogowej i do usunięcia np. statku</w:t>
      </w:r>
      <w:r w:rsidR="003C755B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o długości kadłuba powyżej 20 m potrzebny jest specjalistyczny sprzęt i co najmniej dwie osoby</w:t>
      </w:r>
      <w:r w:rsidR="003C755B" w:rsidRPr="001B14D1">
        <w:rPr>
          <w:sz w:val="24"/>
          <w:szCs w:val="24"/>
        </w:rPr>
        <w:t xml:space="preserve"> </w:t>
      </w:r>
      <w:r w:rsidR="00474F82" w:rsidRPr="001B14D1">
        <w:rPr>
          <w:sz w:val="24"/>
          <w:szCs w:val="24"/>
        </w:rPr>
        <w:t>obsługujące zdarzenie</w:t>
      </w:r>
      <w:r w:rsidRPr="001B14D1">
        <w:rPr>
          <w:sz w:val="24"/>
          <w:szCs w:val="24"/>
        </w:rPr>
        <w:t>.</w:t>
      </w:r>
      <w:r w:rsidR="003C755B" w:rsidRPr="001B14D1">
        <w:rPr>
          <w:sz w:val="24"/>
          <w:szCs w:val="24"/>
        </w:rPr>
        <w:t xml:space="preserve"> </w:t>
      </w:r>
      <w:r w:rsidRPr="001B14D1">
        <w:rPr>
          <w:sz w:val="24"/>
          <w:szCs w:val="24"/>
        </w:rPr>
        <w:t>Jednocześnie zauważyć należy, że każde zdarzenie polegające na usunięciu i transporci</w:t>
      </w:r>
      <w:r w:rsidR="003C755B" w:rsidRPr="001B14D1">
        <w:rPr>
          <w:sz w:val="24"/>
          <w:szCs w:val="24"/>
        </w:rPr>
        <w:t xml:space="preserve">e </w:t>
      </w:r>
      <w:r w:rsidR="00035788" w:rsidRPr="001B14D1">
        <w:rPr>
          <w:sz w:val="24"/>
          <w:szCs w:val="24"/>
        </w:rPr>
        <w:t>ma charakter indywidualny.</w:t>
      </w:r>
    </w:p>
    <w:p w:rsidR="00892AC9" w:rsidRPr="001B14D1" w:rsidRDefault="00892AC9" w:rsidP="001B14D1">
      <w:pPr>
        <w:spacing w:line="360" w:lineRule="auto"/>
        <w:ind w:left="720"/>
        <w:rPr>
          <w:sz w:val="24"/>
          <w:szCs w:val="24"/>
        </w:rPr>
      </w:pPr>
    </w:p>
    <w:sectPr w:rsidR="00892AC9" w:rsidRPr="001B14D1" w:rsidSect="00606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03" w:rsidRDefault="00FF5103" w:rsidP="001B14D1">
      <w:pPr>
        <w:spacing w:after="0" w:line="240" w:lineRule="auto"/>
      </w:pPr>
      <w:r>
        <w:separator/>
      </w:r>
    </w:p>
  </w:endnote>
  <w:endnote w:type="continuationSeparator" w:id="0">
    <w:p w:rsidR="00FF5103" w:rsidRDefault="00FF5103" w:rsidP="001B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03" w:rsidRDefault="00FF5103" w:rsidP="001B14D1">
      <w:pPr>
        <w:spacing w:after="0" w:line="240" w:lineRule="auto"/>
      </w:pPr>
      <w:r>
        <w:separator/>
      </w:r>
    </w:p>
  </w:footnote>
  <w:footnote w:type="continuationSeparator" w:id="0">
    <w:p w:rsidR="00FF5103" w:rsidRDefault="00FF5103" w:rsidP="001B14D1">
      <w:pPr>
        <w:spacing w:after="0" w:line="240" w:lineRule="auto"/>
      </w:pPr>
      <w:r>
        <w:continuationSeparator/>
      </w:r>
    </w:p>
  </w:footnote>
  <w:footnote w:id="1">
    <w:p w:rsidR="001B14D1" w:rsidRDefault="001B14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6565">
        <w:rPr>
          <w:rFonts w:ascii="Calibri" w:hAnsi="Calibri" w:cs="Calibri"/>
          <w:sz w:val="18"/>
          <w:szCs w:val="18"/>
        </w:rPr>
        <w:t>Zmiany tekstu jednolitego wymienionej ustawy zostały ogłoszone w Dz. U. z 2023 r. poz. 572</w:t>
      </w:r>
    </w:p>
  </w:footnote>
  <w:footnote w:id="2">
    <w:p w:rsidR="001B14D1" w:rsidRDefault="001B14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6565">
        <w:rPr>
          <w:rFonts w:ascii="Calibri" w:hAnsi="Calibri" w:cs="Calibri"/>
          <w:sz w:val="18"/>
          <w:szCs w:val="18"/>
        </w:rPr>
        <w:t>Zmiany tekstu jednolitego wymienionej ustawy z</w:t>
      </w:r>
      <w:r>
        <w:rPr>
          <w:rFonts w:ascii="Calibri" w:hAnsi="Calibri" w:cs="Calibri"/>
          <w:sz w:val="18"/>
          <w:szCs w:val="18"/>
        </w:rPr>
        <w:t>ostały ogłoszone w Dz. U. z 2022</w:t>
      </w:r>
      <w:r w:rsidRPr="00FC6565">
        <w:rPr>
          <w:rFonts w:ascii="Calibri" w:hAnsi="Calibri" w:cs="Calibri"/>
          <w:sz w:val="18"/>
          <w:szCs w:val="18"/>
        </w:rPr>
        <w:t xml:space="preserve"> r. poz</w:t>
      </w:r>
      <w:r>
        <w:rPr>
          <w:rFonts w:ascii="Calibri" w:hAnsi="Calibri" w:cs="Calibri"/>
          <w:sz w:val="18"/>
          <w:szCs w:val="18"/>
        </w:rPr>
        <w:t>. 2705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068"/>
    <w:multiLevelType w:val="hybridMultilevel"/>
    <w:tmpl w:val="9D5EC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564E"/>
    <w:multiLevelType w:val="hybridMultilevel"/>
    <w:tmpl w:val="BB18172C"/>
    <w:lvl w:ilvl="0" w:tplc="1FFA4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2E7F57"/>
    <w:multiLevelType w:val="hybridMultilevel"/>
    <w:tmpl w:val="36B06408"/>
    <w:lvl w:ilvl="0" w:tplc="B3B83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EC1A9D"/>
    <w:multiLevelType w:val="hybridMultilevel"/>
    <w:tmpl w:val="CD32A2E4"/>
    <w:lvl w:ilvl="0" w:tplc="8C24C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349"/>
    <w:rsid w:val="00035788"/>
    <w:rsid w:val="00114414"/>
    <w:rsid w:val="001B14D1"/>
    <w:rsid w:val="0026273E"/>
    <w:rsid w:val="003245B5"/>
    <w:rsid w:val="00367349"/>
    <w:rsid w:val="00373E49"/>
    <w:rsid w:val="003C755B"/>
    <w:rsid w:val="00414B90"/>
    <w:rsid w:val="00474F82"/>
    <w:rsid w:val="00606423"/>
    <w:rsid w:val="00607BE0"/>
    <w:rsid w:val="006E615B"/>
    <w:rsid w:val="0075364B"/>
    <w:rsid w:val="007B07B9"/>
    <w:rsid w:val="00892AC9"/>
    <w:rsid w:val="009A769A"/>
    <w:rsid w:val="009B06A3"/>
    <w:rsid w:val="00A503A7"/>
    <w:rsid w:val="00A875BF"/>
    <w:rsid w:val="00AA4FC2"/>
    <w:rsid w:val="00AF78AD"/>
    <w:rsid w:val="00B640CE"/>
    <w:rsid w:val="00C03F1C"/>
    <w:rsid w:val="00CE70E7"/>
    <w:rsid w:val="00E53BCA"/>
    <w:rsid w:val="00F35F0C"/>
    <w:rsid w:val="00F85507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423"/>
  </w:style>
  <w:style w:type="paragraph" w:styleId="Nagwek1">
    <w:name w:val="heading 1"/>
    <w:basedOn w:val="Normalny"/>
    <w:next w:val="Normalny"/>
    <w:link w:val="Nagwek1Znak"/>
    <w:uiPriority w:val="9"/>
    <w:qFormat/>
    <w:rsid w:val="001B1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AC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B14D1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B14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D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B1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D47EA-0355-4230-AFB0-BF35479E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Tomczak</cp:lastModifiedBy>
  <cp:revision>6</cp:revision>
  <cp:lastPrinted>2023-12-27T13:01:00Z</cp:lastPrinted>
  <dcterms:created xsi:type="dcterms:W3CDTF">2023-12-12T09:26:00Z</dcterms:created>
  <dcterms:modified xsi:type="dcterms:W3CDTF">2023-12-27T13:03:00Z</dcterms:modified>
</cp:coreProperties>
</file>